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2C6CFB1F"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4C4AE6">
              <w:rPr>
                <w:b/>
                <w:sz w:val="22"/>
                <w:szCs w:val="24"/>
              </w:rPr>
              <w:t>7</w:t>
            </w:r>
            <w:r w:rsidR="00001A47">
              <w:rPr>
                <w:b/>
                <w:sz w:val="22"/>
                <w:szCs w:val="24"/>
              </w:rPr>
              <w:t>bis</w:t>
            </w:r>
            <w:r w:rsidR="00C1073D">
              <w:rPr>
                <w:b/>
                <w:sz w:val="22"/>
                <w:szCs w:val="24"/>
              </w:rPr>
              <w:t>-</w:t>
            </w:r>
            <w:r w:rsidR="00A559FB" w:rsidRPr="003E242C">
              <w:rPr>
                <w:b/>
                <w:sz w:val="22"/>
                <w:szCs w:val="24"/>
              </w:rPr>
              <w:t>e</w:t>
            </w:r>
          </w:p>
          <w:p w14:paraId="1EC84673" w14:textId="1A723D90"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001A47">
              <w:rPr>
                <w:rFonts w:ascii="Times New Roman" w:hAnsi="Times New Roman"/>
                <w:i w:val="0"/>
                <w:noProof w:val="0"/>
                <w:sz w:val="22"/>
                <w:szCs w:val="24"/>
              </w:rPr>
              <w:t>January</w:t>
            </w:r>
            <w:r w:rsidR="007D06D9">
              <w:rPr>
                <w:rFonts w:ascii="Times New Roman" w:hAnsi="Times New Roman"/>
                <w:i w:val="0"/>
                <w:noProof w:val="0"/>
                <w:sz w:val="22"/>
                <w:szCs w:val="24"/>
              </w:rPr>
              <w:t xml:space="preserve"> 1</w:t>
            </w:r>
            <w:r w:rsidR="00001A47">
              <w:rPr>
                <w:rFonts w:ascii="Times New Roman" w:hAnsi="Times New Roman"/>
                <w:i w:val="0"/>
                <w:noProof w:val="0"/>
                <w:sz w:val="22"/>
                <w:szCs w:val="24"/>
              </w:rPr>
              <w:t>7</w:t>
            </w:r>
            <w:r w:rsidR="000A5D31" w:rsidRPr="000A5D31">
              <w:rPr>
                <w:rFonts w:ascii="Times New Roman" w:hAnsi="Times New Roman"/>
                <w:i w:val="0"/>
                <w:noProof w:val="0"/>
                <w:sz w:val="22"/>
                <w:szCs w:val="24"/>
              </w:rPr>
              <w:t xml:space="preserve">th – </w:t>
            </w:r>
            <w:r w:rsidR="00001A47">
              <w:rPr>
                <w:rFonts w:ascii="Times New Roman" w:hAnsi="Times New Roman"/>
                <w:i w:val="0"/>
                <w:noProof w:val="0"/>
                <w:sz w:val="22"/>
                <w:szCs w:val="24"/>
              </w:rPr>
              <w:t>25</w:t>
            </w:r>
            <w:r w:rsidR="000A5D31" w:rsidRPr="000A5D31">
              <w:rPr>
                <w:rFonts w:ascii="Times New Roman" w:hAnsi="Times New Roman"/>
                <w:i w:val="0"/>
                <w:noProof w:val="0"/>
                <w:sz w:val="22"/>
                <w:szCs w:val="24"/>
              </w:rPr>
              <w:t>th, 202</w:t>
            </w:r>
            <w:r w:rsidR="00001A47">
              <w:rPr>
                <w:rFonts w:ascii="Times New Roman" w:hAnsi="Times New Roman"/>
                <w:i w:val="0"/>
                <w:noProof w:val="0"/>
                <w:sz w:val="22"/>
                <w:szCs w:val="24"/>
              </w:rPr>
              <w:t>2</w:t>
            </w:r>
          </w:p>
        </w:tc>
        <w:tc>
          <w:tcPr>
            <w:tcW w:w="2766" w:type="dxa"/>
          </w:tcPr>
          <w:p w14:paraId="04437A8E" w14:textId="0FAB418D" w:rsidR="006F40BC" w:rsidRPr="003E242C" w:rsidRDefault="00DA1737" w:rsidP="009F33E3">
            <w:pPr>
              <w:tabs>
                <w:tab w:val="right" w:pos="10000"/>
              </w:tabs>
              <w:spacing w:after="0"/>
              <w:jc w:val="right"/>
              <w:rPr>
                <w:bCs/>
                <w:sz w:val="22"/>
                <w:szCs w:val="24"/>
              </w:rPr>
            </w:pPr>
            <w:r w:rsidRPr="00DA1737">
              <w:rPr>
                <w:b/>
                <w:sz w:val="22"/>
                <w:szCs w:val="24"/>
              </w:rPr>
              <w:t>R1-2</w:t>
            </w:r>
            <w:r w:rsidR="00F65D3E">
              <w:rPr>
                <w:b/>
                <w:sz w:val="22"/>
                <w:szCs w:val="24"/>
              </w:rPr>
              <w:t>200304</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5CACDF35" w:rsidR="00746535" w:rsidRDefault="00746535" w:rsidP="00746535">
      <w:pPr>
        <w:pStyle w:val="Heading1"/>
        <w:rPr>
          <w:rFonts w:ascii="Times New Roman" w:hAnsi="Times New Roman"/>
          <w:lang w:val="en-US"/>
        </w:rPr>
      </w:pPr>
      <w:r w:rsidRPr="003E242C">
        <w:rPr>
          <w:rFonts w:ascii="Times New Roman" w:hAnsi="Times New Roman"/>
          <w:lang w:val="en-US"/>
        </w:rPr>
        <w:t>Introduction</w:t>
      </w:r>
    </w:p>
    <w:p w14:paraId="4231A864" w14:textId="765EAF3F" w:rsidR="002547FC" w:rsidRPr="00E923BD" w:rsidRDefault="002547FC" w:rsidP="002547FC">
      <w:r>
        <w:t xml:space="preserve">Most of the critical issues regarding DMRS bundling for PUCCH repetitions were resolved in RAN1 107-e meeting. This document </w:t>
      </w:r>
      <w:r w:rsidR="00B4280C">
        <w:t xml:space="preserve">discusses </w:t>
      </w:r>
      <w:r>
        <w:t xml:space="preserve">some </w:t>
      </w:r>
      <w:r w:rsidR="00F6313E">
        <w:t xml:space="preserve">of the </w:t>
      </w:r>
      <w:r>
        <w:t>remaining issues</w:t>
      </w:r>
      <w:r w:rsidR="00B4280C">
        <w:t xml:space="preserve"> </w:t>
      </w:r>
      <w:r w:rsidR="00F6313E">
        <w:t>including interaction with inter-slot frequency hopping and granularity of RRC parameter configurations.</w:t>
      </w:r>
    </w:p>
    <w:p w14:paraId="6EFBDC2D" w14:textId="77777777" w:rsidR="008C6E77" w:rsidRPr="008C6E77" w:rsidRDefault="008C6E77" w:rsidP="008C6E77"/>
    <w:p w14:paraId="60772A89" w14:textId="5A36DD3C" w:rsidR="00FF106E" w:rsidRDefault="005B12F2" w:rsidP="005B12F2">
      <w:pPr>
        <w:pStyle w:val="Heading1"/>
        <w:rPr>
          <w:rFonts w:ascii="Times New Roman" w:hAnsi="Times New Roman"/>
          <w:lang w:val="en-US"/>
        </w:rPr>
      </w:pPr>
      <w:bookmarkStart w:id="1" w:name="_Hlk23927392"/>
      <w:r>
        <w:rPr>
          <w:rFonts w:ascii="Times New Roman" w:hAnsi="Times New Roman"/>
          <w:lang w:val="en-US"/>
        </w:rPr>
        <w:t xml:space="preserve">RRC Parameters for </w:t>
      </w:r>
      <w:r w:rsidR="00FF106E">
        <w:rPr>
          <w:rFonts w:ascii="Times New Roman" w:hAnsi="Times New Roman"/>
          <w:lang w:val="en-US"/>
        </w:rPr>
        <w:t>DMRS Bundling</w:t>
      </w:r>
    </w:p>
    <w:p w14:paraId="05D238FE" w14:textId="516829EC" w:rsidR="00FF106E" w:rsidRDefault="00DC2B51" w:rsidP="00FF106E">
      <w:pPr>
        <w:rPr>
          <w:lang w:val="en-GB" w:eastAsia="ko-KR"/>
        </w:rPr>
      </w:pPr>
      <w:r>
        <w:rPr>
          <w:lang w:val="en-GB" w:eastAsia="ko-KR"/>
        </w:rPr>
        <w:t>In R1-</w:t>
      </w:r>
      <w:r w:rsidR="00762D22">
        <w:rPr>
          <w:lang w:val="en-GB" w:eastAsia="ko-KR"/>
        </w:rPr>
        <w:t>2112976, the following RRC parameters are defined in the context of DMRS bundling for PUCCH repetitions:</w:t>
      </w:r>
    </w:p>
    <w:tbl>
      <w:tblPr>
        <w:tblW w:w="5000" w:type="pct"/>
        <w:tblLook w:val="04A0" w:firstRow="1" w:lastRow="0" w:firstColumn="1" w:lastColumn="0" w:noHBand="0" w:noVBand="1"/>
      </w:tblPr>
      <w:tblGrid>
        <w:gridCol w:w="2182"/>
        <w:gridCol w:w="510"/>
        <w:gridCol w:w="261"/>
        <w:gridCol w:w="2621"/>
        <w:gridCol w:w="1560"/>
        <w:gridCol w:w="262"/>
        <w:gridCol w:w="840"/>
        <w:gridCol w:w="1114"/>
      </w:tblGrid>
      <w:tr w:rsidR="00970697" w:rsidRPr="00970697" w14:paraId="7BBE6A76" w14:textId="77777777" w:rsidTr="00E147D4">
        <w:trPr>
          <w:trHeight w:val="3400"/>
        </w:trPr>
        <w:tc>
          <w:tcPr>
            <w:tcW w:w="1167" w:type="pct"/>
            <w:tcBorders>
              <w:top w:val="single" w:sz="4" w:space="0" w:color="auto"/>
              <w:left w:val="single" w:sz="4" w:space="0" w:color="auto"/>
              <w:bottom w:val="single" w:sz="4" w:space="0" w:color="auto"/>
              <w:right w:val="single" w:sz="4" w:space="0" w:color="auto"/>
            </w:tcBorders>
            <w:shd w:val="clear" w:color="000000" w:fill="70AD47"/>
            <w:vAlign w:val="center"/>
            <w:hideMark/>
          </w:tcPr>
          <w:p w14:paraId="0DCB55AC" w14:textId="77777777" w:rsidR="00970697" w:rsidRPr="00970697" w:rsidRDefault="00970697" w:rsidP="00970697">
            <w:pPr>
              <w:overflowPunct/>
              <w:autoSpaceDE/>
              <w:autoSpaceDN/>
              <w:adjustRightInd/>
              <w:spacing w:after="0"/>
              <w:textAlignment w:val="auto"/>
              <w:rPr>
                <w:rFonts w:ascii="Arial" w:eastAsia="Times New Roman" w:hAnsi="Arial" w:cs="Arial"/>
                <w:i/>
                <w:iCs/>
                <w:color w:val="FF0000"/>
                <w:sz w:val="16"/>
                <w:szCs w:val="16"/>
              </w:rPr>
            </w:pPr>
            <w:r w:rsidRPr="00970697">
              <w:rPr>
                <w:rFonts w:ascii="Arial" w:eastAsia="Times New Roman" w:hAnsi="Arial" w:cs="Arial"/>
                <w:strike/>
                <w:color w:val="FF0000"/>
                <w:sz w:val="16"/>
                <w:szCs w:val="16"/>
              </w:rPr>
              <w:t>[</w:t>
            </w:r>
            <w:r w:rsidRPr="00970697">
              <w:rPr>
                <w:rFonts w:ascii="Arial" w:eastAsia="Times New Roman" w:hAnsi="Arial" w:cs="Arial"/>
                <w:i/>
                <w:iCs/>
                <w:sz w:val="16"/>
                <w:szCs w:val="16"/>
              </w:rPr>
              <w:t>PUCCH-DMRS-Bundling</w:t>
            </w:r>
            <w:r w:rsidRPr="00970697">
              <w:rPr>
                <w:rFonts w:ascii="Arial" w:eastAsia="Times New Roman" w:hAnsi="Arial" w:cs="Arial"/>
                <w:strike/>
                <w:color w:val="FF0000"/>
                <w:sz w:val="16"/>
                <w:szCs w:val="16"/>
              </w:rPr>
              <w:t>]</w:t>
            </w:r>
          </w:p>
        </w:tc>
        <w:tc>
          <w:tcPr>
            <w:tcW w:w="273" w:type="pct"/>
            <w:tcBorders>
              <w:top w:val="single" w:sz="4" w:space="0" w:color="auto"/>
              <w:left w:val="nil"/>
              <w:bottom w:val="single" w:sz="4" w:space="0" w:color="auto"/>
              <w:right w:val="single" w:sz="4" w:space="0" w:color="auto"/>
            </w:tcBorders>
            <w:shd w:val="clear" w:color="auto" w:fill="auto"/>
            <w:vAlign w:val="center"/>
            <w:hideMark/>
          </w:tcPr>
          <w:p w14:paraId="4CA250FF"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new</w:t>
            </w:r>
          </w:p>
        </w:tc>
        <w:tc>
          <w:tcPr>
            <w:tcW w:w="140" w:type="pct"/>
            <w:tcBorders>
              <w:top w:val="single" w:sz="4" w:space="0" w:color="auto"/>
              <w:left w:val="nil"/>
              <w:bottom w:val="single" w:sz="4" w:space="0" w:color="auto"/>
              <w:right w:val="single" w:sz="4" w:space="0" w:color="auto"/>
            </w:tcBorders>
            <w:shd w:val="clear" w:color="auto" w:fill="auto"/>
            <w:vAlign w:val="center"/>
            <w:hideMark/>
          </w:tcPr>
          <w:p w14:paraId="0A0A123E"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 </w:t>
            </w:r>
          </w:p>
        </w:tc>
        <w:tc>
          <w:tcPr>
            <w:tcW w:w="1402" w:type="pct"/>
            <w:tcBorders>
              <w:top w:val="single" w:sz="4" w:space="0" w:color="auto"/>
              <w:left w:val="nil"/>
              <w:bottom w:val="single" w:sz="4" w:space="0" w:color="auto"/>
              <w:right w:val="single" w:sz="4" w:space="0" w:color="auto"/>
            </w:tcBorders>
            <w:shd w:val="clear" w:color="auto" w:fill="auto"/>
            <w:vAlign w:val="center"/>
            <w:hideMark/>
          </w:tcPr>
          <w:p w14:paraId="3F6A9290"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 xml:space="preserve">Enabling/disabling of DM-RS bundling and time domain window for PUCCH repetitions. </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7685876F"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 xml:space="preserve">ENUMERATED {enabled, </w:t>
            </w:r>
            <w:proofErr w:type="gramStart"/>
            <w:r w:rsidRPr="00970697">
              <w:rPr>
                <w:rFonts w:ascii="Arial" w:eastAsia="Times New Roman" w:hAnsi="Arial" w:cs="Arial"/>
                <w:color w:val="000000"/>
                <w:sz w:val="16"/>
                <w:szCs w:val="16"/>
              </w:rPr>
              <w:t>disable }</w:t>
            </w:r>
            <w:proofErr w:type="gramEnd"/>
          </w:p>
        </w:tc>
        <w:tc>
          <w:tcPr>
            <w:tcW w:w="140" w:type="pct"/>
            <w:tcBorders>
              <w:top w:val="single" w:sz="4" w:space="0" w:color="auto"/>
              <w:left w:val="nil"/>
              <w:bottom w:val="single" w:sz="4" w:space="0" w:color="auto"/>
              <w:right w:val="single" w:sz="4" w:space="0" w:color="auto"/>
            </w:tcBorders>
            <w:shd w:val="clear" w:color="auto" w:fill="auto"/>
            <w:vAlign w:val="center"/>
            <w:hideMark/>
          </w:tcPr>
          <w:p w14:paraId="7BA9A774"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 </w:t>
            </w:r>
          </w:p>
        </w:tc>
        <w:tc>
          <w:tcPr>
            <w:tcW w:w="449" w:type="pct"/>
            <w:tcBorders>
              <w:top w:val="single" w:sz="4" w:space="0" w:color="auto"/>
              <w:left w:val="nil"/>
              <w:bottom w:val="single" w:sz="4" w:space="0" w:color="auto"/>
              <w:right w:val="single" w:sz="4" w:space="0" w:color="auto"/>
            </w:tcBorders>
            <w:shd w:val="clear" w:color="auto" w:fill="auto"/>
            <w:vAlign w:val="center"/>
            <w:hideMark/>
          </w:tcPr>
          <w:p w14:paraId="368A1057" w14:textId="77777777" w:rsidR="00970697" w:rsidRPr="00970697" w:rsidRDefault="00970697" w:rsidP="00970697">
            <w:pPr>
              <w:overflowPunct/>
              <w:autoSpaceDE/>
              <w:autoSpaceDN/>
              <w:adjustRightInd/>
              <w:spacing w:after="0"/>
              <w:textAlignment w:val="auto"/>
              <w:rPr>
                <w:rFonts w:ascii="Arial" w:eastAsia="Times New Roman" w:hAnsi="Arial" w:cs="Arial"/>
                <w:color w:val="0000FF"/>
                <w:sz w:val="16"/>
                <w:szCs w:val="16"/>
              </w:rPr>
            </w:pPr>
            <w:r w:rsidRPr="00970697">
              <w:rPr>
                <w:rFonts w:ascii="Arial" w:eastAsia="Times New Roman" w:hAnsi="Arial" w:cs="Arial"/>
                <w:color w:val="0000FF"/>
                <w:sz w:val="16"/>
                <w:szCs w:val="16"/>
              </w:rPr>
              <w:t>FFS</w:t>
            </w:r>
          </w:p>
        </w:tc>
        <w:tc>
          <w:tcPr>
            <w:tcW w:w="596" w:type="pct"/>
            <w:tcBorders>
              <w:top w:val="single" w:sz="4" w:space="0" w:color="auto"/>
              <w:left w:val="nil"/>
              <w:bottom w:val="single" w:sz="4" w:space="0" w:color="auto"/>
              <w:right w:val="single" w:sz="4" w:space="0" w:color="auto"/>
            </w:tcBorders>
            <w:shd w:val="clear" w:color="auto" w:fill="auto"/>
            <w:noWrap/>
            <w:vAlign w:val="center"/>
            <w:hideMark/>
          </w:tcPr>
          <w:p w14:paraId="69A1B58A" w14:textId="77777777" w:rsidR="00970697" w:rsidRPr="00970697" w:rsidRDefault="00970697" w:rsidP="00970697">
            <w:pPr>
              <w:overflowPunct/>
              <w:autoSpaceDE/>
              <w:autoSpaceDN/>
              <w:adjustRightInd/>
              <w:spacing w:after="0"/>
              <w:textAlignment w:val="auto"/>
              <w:rPr>
                <w:rFonts w:ascii="Arial" w:eastAsia="Times New Roman" w:hAnsi="Arial" w:cs="Arial"/>
                <w:color w:val="000000"/>
                <w:sz w:val="16"/>
                <w:szCs w:val="16"/>
              </w:rPr>
            </w:pPr>
            <w:r w:rsidRPr="00970697">
              <w:rPr>
                <w:rFonts w:ascii="Arial" w:eastAsia="Times New Roman" w:hAnsi="Arial" w:cs="Arial"/>
                <w:color w:val="000000"/>
                <w:sz w:val="16"/>
                <w:szCs w:val="16"/>
              </w:rPr>
              <w:t>[UE-specific]</w:t>
            </w:r>
          </w:p>
        </w:tc>
      </w:tr>
      <w:tr w:rsidR="00970697" w:rsidRPr="00970697" w14:paraId="52495B0F" w14:textId="77777777" w:rsidTr="00E147D4">
        <w:trPr>
          <w:trHeight w:val="1200"/>
        </w:trPr>
        <w:tc>
          <w:tcPr>
            <w:tcW w:w="1167" w:type="pct"/>
            <w:tcBorders>
              <w:top w:val="nil"/>
              <w:left w:val="single" w:sz="4" w:space="0" w:color="auto"/>
              <w:bottom w:val="single" w:sz="4" w:space="0" w:color="auto"/>
              <w:right w:val="single" w:sz="4" w:space="0" w:color="auto"/>
            </w:tcBorders>
            <w:shd w:val="clear" w:color="000000" w:fill="70AD47"/>
            <w:vAlign w:val="center"/>
            <w:hideMark/>
          </w:tcPr>
          <w:p w14:paraId="53073052" w14:textId="77777777" w:rsidR="00970697" w:rsidRPr="00970697" w:rsidRDefault="00970697" w:rsidP="00970697">
            <w:pPr>
              <w:overflowPunct/>
              <w:autoSpaceDE/>
              <w:autoSpaceDN/>
              <w:adjustRightInd/>
              <w:spacing w:after="0"/>
              <w:textAlignment w:val="auto"/>
              <w:rPr>
                <w:rFonts w:ascii="Arial" w:eastAsia="Times New Roman" w:hAnsi="Arial" w:cs="Arial"/>
                <w:i/>
                <w:iCs/>
                <w:sz w:val="16"/>
                <w:szCs w:val="16"/>
              </w:rPr>
            </w:pPr>
            <w:r w:rsidRPr="00970697">
              <w:rPr>
                <w:rFonts w:ascii="Arial" w:eastAsia="Times New Roman" w:hAnsi="Arial" w:cs="Arial"/>
                <w:i/>
                <w:iCs/>
                <w:sz w:val="16"/>
                <w:szCs w:val="16"/>
              </w:rPr>
              <w:t>PUCCH-</w:t>
            </w:r>
            <w:proofErr w:type="spellStart"/>
            <w:r w:rsidRPr="00970697">
              <w:rPr>
                <w:rFonts w:ascii="Arial" w:eastAsia="Times New Roman" w:hAnsi="Arial" w:cs="Arial"/>
                <w:i/>
                <w:iCs/>
                <w:sz w:val="16"/>
                <w:szCs w:val="16"/>
              </w:rPr>
              <w:t>TimeDomainWindowLength</w:t>
            </w:r>
            <w:proofErr w:type="spellEnd"/>
          </w:p>
        </w:tc>
        <w:tc>
          <w:tcPr>
            <w:tcW w:w="273" w:type="pct"/>
            <w:tcBorders>
              <w:top w:val="nil"/>
              <w:left w:val="nil"/>
              <w:bottom w:val="single" w:sz="4" w:space="0" w:color="auto"/>
              <w:right w:val="single" w:sz="4" w:space="0" w:color="auto"/>
            </w:tcBorders>
            <w:shd w:val="clear" w:color="auto" w:fill="auto"/>
            <w:noWrap/>
            <w:vAlign w:val="center"/>
            <w:hideMark/>
          </w:tcPr>
          <w:p w14:paraId="55D59294" w14:textId="77777777" w:rsidR="00970697" w:rsidRPr="00970697" w:rsidRDefault="00970697" w:rsidP="00970697">
            <w:pPr>
              <w:overflowPunct/>
              <w:autoSpaceDE/>
              <w:autoSpaceDN/>
              <w:adjustRightInd/>
              <w:spacing w:after="0"/>
              <w:textAlignment w:val="auto"/>
              <w:rPr>
                <w:rFonts w:ascii="Arial" w:eastAsia="Times New Roman" w:hAnsi="Arial" w:cs="Arial"/>
                <w:sz w:val="16"/>
                <w:szCs w:val="16"/>
              </w:rPr>
            </w:pPr>
            <w:r w:rsidRPr="00970697">
              <w:rPr>
                <w:rFonts w:ascii="Arial" w:eastAsia="Times New Roman" w:hAnsi="Arial" w:cs="Arial"/>
                <w:sz w:val="16"/>
                <w:szCs w:val="16"/>
              </w:rPr>
              <w:t>new</w:t>
            </w:r>
          </w:p>
        </w:tc>
        <w:tc>
          <w:tcPr>
            <w:tcW w:w="140" w:type="pct"/>
            <w:tcBorders>
              <w:top w:val="nil"/>
              <w:left w:val="nil"/>
              <w:bottom w:val="single" w:sz="4" w:space="0" w:color="auto"/>
              <w:right w:val="single" w:sz="4" w:space="0" w:color="auto"/>
            </w:tcBorders>
            <w:shd w:val="clear" w:color="auto" w:fill="auto"/>
            <w:noWrap/>
            <w:vAlign w:val="center"/>
            <w:hideMark/>
          </w:tcPr>
          <w:p w14:paraId="7D651AF8" w14:textId="77777777" w:rsidR="00970697" w:rsidRPr="00970697" w:rsidRDefault="00970697" w:rsidP="00970697">
            <w:pPr>
              <w:overflowPunct/>
              <w:autoSpaceDE/>
              <w:autoSpaceDN/>
              <w:adjustRightInd/>
              <w:spacing w:after="0"/>
              <w:textAlignment w:val="auto"/>
              <w:rPr>
                <w:rFonts w:ascii="Arial" w:eastAsia="Times New Roman" w:hAnsi="Arial" w:cs="Arial"/>
                <w:color w:val="FF0000"/>
                <w:sz w:val="16"/>
                <w:szCs w:val="16"/>
              </w:rPr>
            </w:pPr>
            <w:r w:rsidRPr="00970697">
              <w:rPr>
                <w:rFonts w:ascii="Arial" w:eastAsia="Times New Roman" w:hAnsi="Arial" w:cs="Arial"/>
                <w:color w:val="FF0000"/>
                <w:sz w:val="16"/>
                <w:szCs w:val="16"/>
              </w:rPr>
              <w:t> </w:t>
            </w:r>
          </w:p>
        </w:tc>
        <w:tc>
          <w:tcPr>
            <w:tcW w:w="1402" w:type="pct"/>
            <w:tcBorders>
              <w:top w:val="nil"/>
              <w:left w:val="nil"/>
              <w:bottom w:val="single" w:sz="4" w:space="0" w:color="auto"/>
              <w:right w:val="single" w:sz="4" w:space="0" w:color="auto"/>
            </w:tcBorders>
            <w:shd w:val="clear" w:color="auto" w:fill="auto"/>
            <w:vAlign w:val="center"/>
            <w:hideMark/>
          </w:tcPr>
          <w:p w14:paraId="2AC888D1" w14:textId="77777777" w:rsidR="00970697" w:rsidRPr="00970697" w:rsidRDefault="00970697" w:rsidP="00970697">
            <w:pPr>
              <w:overflowPunct/>
              <w:autoSpaceDE/>
              <w:autoSpaceDN/>
              <w:adjustRightInd/>
              <w:spacing w:after="0"/>
              <w:textAlignment w:val="auto"/>
              <w:rPr>
                <w:rFonts w:ascii="Arial" w:eastAsia="Times New Roman" w:hAnsi="Arial" w:cs="Arial"/>
                <w:color w:val="FF0000"/>
                <w:sz w:val="16"/>
                <w:szCs w:val="16"/>
              </w:rPr>
            </w:pPr>
            <w:r w:rsidRPr="00970697">
              <w:rPr>
                <w:rFonts w:ascii="Arial" w:eastAsia="Times New Roman" w:hAnsi="Arial" w:cs="Arial"/>
                <w:sz w:val="16"/>
                <w:szCs w:val="16"/>
              </w:rPr>
              <w:t xml:space="preserve">Length of a </w:t>
            </w:r>
            <w:r w:rsidRPr="00970697">
              <w:rPr>
                <w:rFonts w:ascii="Arial" w:eastAsia="Times New Roman" w:hAnsi="Arial" w:cs="Arial"/>
                <w:strike/>
                <w:color w:val="0000FF"/>
                <w:sz w:val="16"/>
                <w:szCs w:val="16"/>
              </w:rPr>
              <w:t>configured</w:t>
            </w:r>
            <w:r w:rsidRPr="00970697">
              <w:rPr>
                <w:rFonts w:ascii="Arial" w:eastAsia="Times New Roman" w:hAnsi="Arial" w:cs="Arial"/>
                <w:color w:val="0000FF"/>
                <w:sz w:val="16"/>
                <w:szCs w:val="16"/>
              </w:rPr>
              <w:t xml:space="preserve"> [nominal]</w:t>
            </w:r>
            <w:r w:rsidRPr="00970697">
              <w:rPr>
                <w:rFonts w:ascii="Arial" w:eastAsia="Times New Roman" w:hAnsi="Arial" w:cs="Arial"/>
                <w:sz w:val="16"/>
                <w:szCs w:val="16"/>
              </w:rPr>
              <w:t xml:space="preserve"> time domain window in slots for DMRS bundling for PUCCH.</w:t>
            </w:r>
          </w:p>
        </w:tc>
        <w:tc>
          <w:tcPr>
            <w:tcW w:w="835" w:type="pct"/>
            <w:tcBorders>
              <w:top w:val="nil"/>
              <w:left w:val="nil"/>
              <w:bottom w:val="single" w:sz="4" w:space="0" w:color="auto"/>
              <w:right w:val="single" w:sz="4" w:space="0" w:color="auto"/>
            </w:tcBorders>
            <w:shd w:val="clear" w:color="auto" w:fill="auto"/>
            <w:vAlign w:val="center"/>
            <w:hideMark/>
          </w:tcPr>
          <w:p w14:paraId="6A3582FB" w14:textId="77777777" w:rsidR="00970697" w:rsidRPr="00970697" w:rsidRDefault="00970697" w:rsidP="00970697">
            <w:pPr>
              <w:overflowPunct/>
              <w:autoSpaceDE/>
              <w:autoSpaceDN/>
              <w:adjustRightInd/>
              <w:spacing w:after="0"/>
              <w:textAlignment w:val="auto"/>
              <w:rPr>
                <w:rFonts w:ascii="Arial" w:eastAsia="Times New Roman" w:hAnsi="Arial" w:cs="Arial"/>
                <w:color w:val="0000FF"/>
                <w:sz w:val="16"/>
                <w:szCs w:val="16"/>
              </w:rPr>
            </w:pPr>
            <w:r w:rsidRPr="00970697">
              <w:rPr>
                <w:rFonts w:ascii="Arial" w:eastAsia="Times New Roman" w:hAnsi="Arial" w:cs="Arial"/>
                <w:color w:val="0000FF"/>
                <w:sz w:val="16"/>
                <w:szCs w:val="16"/>
              </w:rPr>
              <w:t>FFS</w:t>
            </w:r>
          </w:p>
        </w:tc>
        <w:tc>
          <w:tcPr>
            <w:tcW w:w="140" w:type="pct"/>
            <w:tcBorders>
              <w:top w:val="nil"/>
              <w:left w:val="nil"/>
              <w:bottom w:val="single" w:sz="4" w:space="0" w:color="auto"/>
              <w:right w:val="single" w:sz="4" w:space="0" w:color="auto"/>
            </w:tcBorders>
            <w:shd w:val="clear" w:color="auto" w:fill="auto"/>
            <w:noWrap/>
            <w:vAlign w:val="center"/>
            <w:hideMark/>
          </w:tcPr>
          <w:p w14:paraId="21EEB4D9" w14:textId="77777777" w:rsidR="00970697" w:rsidRPr="00970697" w:rsidRDefault="00970697" w:rsidP="00970697">
            <w:pPr>
              <w:overflowPunct/>
              <w:autoSpaceDE/>
              <w:autoSpaceDN/>
              <w:adjustRightInd/>
              <w:spacing w:after="0"/>
              <w:textAlignment w:val="auto"/>
              <w:rPr>
                <w:rFonts w:ascii="Arial" w:eastAsia="Times New Roman" w:hAnsi="Arial" w:cs="Arial"/>
                <w:color w:val="FF0000"/>
                <w:sz w:val="16"/>
                <w:szCs w:val="16"/>
              </w:rPr>
            </w:pPr>
            <w:r w:rsidRPr="00970697">
              <w:rPr>
                <w:rFonts w:ascii="Arial" w:eastAsia="Times New Roman" w:hAnsi="Arial" w:cs="Arial"/>
                <w:color w:val="FF0000"/>
                <w:sz w:val="16"/>
                <w:szCs w:val="16"/>
              </w:rPr>
              <w:t> </w:t>
            </w:r>
          </w:p>
        </w:tc>
        <w:tc>
          <w:tcPr>
            <w:tcW w:w="449" w:type="pct"/>
            <w:tcBorders>
              <w:top w:val="nil"/>
              <w:left w:val="nil"/>
              <w:bottom w:val="single" w:sz="4" w:space="0" w:color="auto"/>
              <w:right w:val="single" w:sz="4" w:space="0" w:color="auto"/>
            </w:tcBorders>
            <w:shd w:val="clear" w:color="auto" w:fill="auto"/>
            <w:vAlign w:val="center"/>
            <w:hideMark/>
          </w:tcPr>
          <w:p w14:paraId="5D9C9E41" w14:textId="77777777" w:rsidR="00970697" w:rsidRPr="00970697" w:rsidRDefault="00970697" w:rsidP="00970697">
            <w:pPr>
              <w:overflowPunct/>
              <w:autoSpaceDE/>
              <w:autoSpaceDN/>
              <w:adjustRightInd/>
              <w:spacing w:after="0"/>
              <w:textAlignment w:val="auto"/>
              <w:rPr>
                <w:rFonts w:ascii="Arial" w:eastAsia="Times New Roman" w:hAnsi="Arial" w:cs="Arial"/>
                <w:sz w:val="16"/>
                <w:szCs w:val="16"/>
              </w:rPr>
            </w:pPr>
            <w:r w:rsidRPr="00970697">
              <w:rPr>
                <w:rFonts w:ascii="Arial" w:eastAsia="Times New Roman" w:hAnsi="Arial" w:cs="Arial"/>
                <w:sz w:val="16"/>
                <w:szCs w:val="16"/>
              </w:rPr>
              <w:t>[in PUCCH-Config]</w:t>
            </w:r>
          </w:p>
        </w:tc>
        <w:tc>
          <w:tcPr>
            <w:tcW w:w="596" w:type="pct"/>
            <w:tcBorders>
              <w:top w:val="nil"/>
              <w:left w:val="nil"/>
              <w:bottom w:val="single" w:sz="4" w:space="0" w:color="auto"/>
              <w:right w:val="single" w:sz="4" w:space="0" w:color="auto"/>
            </w:tcBorders>
            <w:shd w:val="clear" w:color="auto" w:fill="auto"/>
            <w:noWrap/>
            <w:vAlign w:val="center"/>
            <w:hideMark/>
          </w:tcPr>
          <w:p w14:paraId="5C701102" w14:textId="77777777" w:rsidR="00970697" w:rsidRPr="00970697" w:rsidRDefault="00970697" w:rsidP="00970697">
            <w:pPr>
              <w:overflowPunct/>
              <w:autoSpaceDE/>
              <w:autoSpaceDN/>
              <w:adjustRightInd/>
              <w:spacing w:after="0"/>
              <w:textAlignment w:val="auto"/>
              <w:rPr>
                <w:rFonts w:ascii="Arial" w:eastAsia="Times New Roman" w:hAnsi="Arial" w:cs="Arial"/>
                <w:sz w:val="16"/>
                <w:szCs w:val="16"/>
              </w:rPr>
            </w:pPr>
            <w:r w:rsidRPr="00970697">
              <w:rPr>
                <w:rFonts w:ascii="Arial" w:eastAsia="Times New Roman" w:hAnsi="Arial" w:cs="Arial"/>
                <w:sz w:val="16"/>
                <w:szCs w:val="16"/>
              </w:rPr>
              <w:t>[UE-specific]</w:t>
            </w:r>
          </w:p>
        </w:tc>
      </w:tr>
    </w:tbl>
    <w:p w14:paraId="241D3048" w14:textId="77777777" w:rsidR="00762D22" w:rsidRDefault="00762D22" w:rsidP="00FF106E">
      <w:pPr>
        <w:rPr>
          <w:lang w:val="en-GB" w:eastAsia="ko-KR"/>
        </w:rPr>
      </w:pPr>
    </w:p>
    <w:p w14:paraId="5AC9C511" w14:textId="01FA4D73" w:rsidR="00762D22" w:rsidRDefault="00E147D4" w:rsidP="00FF106E">
      <w:pPr>
        <w:rPr>
          <w:lang w:val="en-GB" w:eastAsia="ko-KR"/>
        </w:rPr>
      </w:pPr>
      <w:r>
        <w:rPr>
          <w:lang w:val="en-GB" w:eastAsia="ko-KR"/>
        </w:rPr>
        <w:t xml:space="preserve">Whether these parameters are to be </w:t>
      </w:r>
      <w:r w:rsidR="00E3700D">
        <w:rPr>
          <w:lang w:val="en-GB" w:eastAsia="ko-KR"/>
        </w:rPr>
        <w:t xml:space="preserve">equally applicable across all PUCCH formats or whether each format can be configured independently remains to be clarified. </w:t>
      </w:r>
    </w:p>
    <w:p w14:paraId="7A79F30A" w14:textId="3C8E65C5" w:rsidR="008B3478" w:rsidRDefault="008B3478" w:rsidP="00FF106E">
      <w:pPr>
        <w:rPr>
          <w:bCs/>
        </w:rPr>
      </w:pPr>
      <w:r>
        <w:rPr>
          <w:bCs/>
        </w:rPr>
        <w:t xml:space="preserve">Noting that gain from DMRS bundling comes at the expense of diversity, </w:t>
      </w:r>
      <w:r w:rsidR="00C534EC">
        <w:rPr>
          <w:bCs/>
        </w:rPr>
        <w:t>it may be preferable to have</w:t>
      </w:r>
      <w:r>
        <w:rPr>
          <w:bCs/>
        </w:rPr>
        <w:t xml:space="preserve"> different settings for different formats. We also need to be mindful of FR2 networks where beam sweeping across short repetitions might be preferred.</w:t>
      </w:r>
      <w:r w:rsidR="00C534EC">
        <w:rPr>
          <w:bCs/>
        </w:rPr>
        <w:t xml:space="preserve"> For these reasons we make the following proposal:</w:t>
      </w:r>
    </w:p>
    <w:p w14:paraId="3DE31055" w14:textId="51FB08FD" w:rsidR="00C534EC" w:rsidRPr="00FF106E" w:rsidRDefault="00C1050F" w:rsidP="00FF106E">
      <w:pPr>
        <w:rPr>
          <w:lang w:val="en-GB" w:eastAsia="ko-KR"/>
        </w:rPr>
      </w:pPr>
      <w:r w:rsidRPr="008C6E77">
        <w:rPr>
          <w:b/>
        </w:rPr>
        <w:t>Proposal</w:t>
      </w:r>
      <w:r w:rsidR="003C7742">
        <w:rPr>
          <w:b/>
        </w:rPr>
        <w:t xml:space="preserve"> 1</w:t>
      </w:r>
      <w:r w:rsidRPr="008C6E77">
        <w:rPr>
          <w:b/>
        </w:rPr>
        <w:t>:</w:t>
      </w:r>
      <w:r>
        <w:rPr>
          <w:bCs/>
        </w:rPr>
        <w:t xml:space="preserve"> Configure </w:t>
      </w:r>
      <w:r w:rsidRPr="00D270BE">
        <w:rPr>
          <w:bCs/>
          <w:i/>
          <w:iCs/>
        </w:rPr>
        <w:t>PUCCH-DMRS-Bundling</w:t>
      </w:r>
      <w:r>
        <w:rPr>
          <w:bCs/>
        </w:rPr>
        <w:t xml:space="preserve"> and </w:t>
      </w:r>
      <w:r w:rsidRPr="00D270BE">
        <w:rPr>
          <w:bCs/>
          <w:i/>
          <w:iCs/>
        </w:rPr>
        <w:t>PUCCH-</w:t>
      </w:r>
      <w:proofErr w:type="spellStart"/>
      <w:r w:rsidRPr="00D270BE">
        <w:rPr>
          <w:bCs/>
          <w:i/>
          <w:iCs/>
        </w:rPr>
        <w:t>TimeDomainWindowLength</w:t>
      </w:r>
      <w:proofErr w:type="spellEnd"/>
      <w:r>
        <w:rPr>
          <w:bCs/>
        </w:rPr>
        <w:t xml:space="preserve"> independently for each PUCCH format. </w:t>
      </w:r>
    </w:p>
    <w:p w14:paraId="3D3F36E7" w14:textId="206AB436" w:rsidR="00EA37B4" w:rsidRDefault="00EA37B4" w:rsidP="00FF106E">
      <w:pPr>
        <w:pStyle w:val="Heading1"/>
      </w:pPr>
      <w:r>
        <w:t>Inter-slot frequency hopping</w:t>
      </w:r>
    </w:p>
    <w:p w14:paraId="740775AA" w14:textId="77777777" w:rsidR="00226B99" w:rsidRDefault="00226B99" w:rsidP="00226B99">
      <w:r>
        <w:t>In RAN1 107-e meeting, the following agreement was reached:</w:t>
      </w:r>
    </w:p>
    <w:tbl>
      <w:tblPr>
        <w:tblStyle w:val="TableGrid"/>
        <w:tblW w:w="0" w:type="auto"/>
        <w:tblLook w:val="04A0" w:firstRow="1" w:lastRow="0" w:firstColumn="1" w:lastColumn="0" w:noHBand="0" w:noVBand="1"/>
      </w:tblPr>
      <w:tblGrid>
        <w:gridCol w:w="9350"/>
      </w:tblGrid>
      <w:tr w:rsidR="00226B99" w14:paraId="203E31C2" w14:textId="77777777" w:rsidTr="00E94D84">
        <w:tc>
          <w:tcPr>
            <w:tcW w:w="9350" w:type="dxa"/>
          </w:tcPr>
          <w:p w14:paraId="5D39FBDC" w14:textId="77777777" w:rsidR="00226B99" w:rsidRPr="00056778" w:rsidRDefault="00226B99" w:rsidP="00E94D84">
            <w:pPr>
              <w:rPr>
                <w:rFonts w:eastAsia="DengXian"/>
                <w:highlight w:val="green"/>
                <w:lang w:eastAsia="zh-CN"/>
              </w:rPr>
            </w:pPr>
            <w:r w:rsidRPr="00056778">
              <w:rPr>
                <w:rFonts w:eastAsia="DengXian"/>
                <w:b/>
                <w:bCs/>
                <w:highlight w:val="green"/>
                <w:lang w:eastAsia="zh-CN"/>
              </w:rPr>
              <w:lastRenderedPageBreak/>
              <w:t>Agreement</w:t>
            </w:r>
            <w:r w:rsidRPr="00056778">
              <w:rPr>
                <w:rFonts w:eastAsia="DengXian"/>
                <w:highlight w:val="green"/>
                <w:lang w:eastAsia="zh-CN"/>
              </w:rPr>
              <w:t xml:space="preserve"> </w:t>
            </w:r>
          </w:p>
          <w:p w14:paraId="147FFF91" w14:textId="77777777" w:rsidR="00226B99" w:rsidRPr="00783517" w:rsidRDefault="00226B99" w:rsidP="00E94D84">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D7C0C96" w14:textId="77777777" w:rsidR="00226B99" w:rsidRPr="00783517" w:rsidRDefault="00226B99" w:rsidP="00E94D84"/>
          <w:p w14:paraId="6AFB7EBA" w14:textId="77777777" w:rsidR="00226B99" w:rsidRPr="00783517" w:rsidRDefault="00226B99" w:rsidP="00226B99">
            <w:pPr>
              <w:pStyle w:val="ListParagraph"/>
              <w:numPr>
                <w:ilvl w:val="0"/>
                <w:numId w:val="69"/>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4D39942A" w14:textId="77777777" w:rsidR="00226B99" w:rsidRPr="005843C9" w:rsidRDefault="00226B99" w:rsidP="00226B99">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34F5ECFE" w14:textId="77777777" w:rsidR="00226B99" w:rsidRPr="00CD54A6" w:rsidRDefault="00226B99" w:rsidP="00226B99">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CD54A6">
              <w:rPr>
                <w:rFonts w:eastAsia="SimSun"/>
                <w:b/>
                <w:bCs/>
                <w:lang w:eastAsia="zh-CN"/>
              </w:rPr>
              <w:t>DMRS bunding is per actual TDW</w:t>
            </w:r>
          </w:p>
          <w:p w14:paraId="5991AF07" w14:textId="77777777" w:rsidR="00226B99" w:rsidRPr="00CD54A6" w:rsidRDefault="00226B99" w:rsidP="00226B99">
            <w:pPr>
              <w:pStyle w:val="ListParagraph"/>
              <w:numPr>
                <w:ilvl w:val="1"/>
                <w:numId w:val="69"/>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Frequency hopping pattern is determined by physical slot indices.</w:t>
            </w:r>
          </w:p>
          <w:p w14:paraId="44F488D1" w14:textId="77777777" w:rsidR="00226B99" w:rsidRPr="00CD54A6" w:rsidRDefault="00226B99" w:rsidP="00226B99">
            <w:pPr>
              <w:pStyle w:val="ListParagraph"/>
              <w:numPr>
                <w:ilvl w:val="2"/>
                <w:numId w:val="69"/>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different FH pattern determination for PUCCH and PUSCH</w:t>
            </w:r>
          </w:p>
          <w:p w14:paraId="74319BA1" w14:textId="77777777" w:rsidR="00226B99" w:rsidRPr="00CD54A6" w:rsidRDefault="00226B99" w:rsidP="00226B99">
            <w:pPr>
              <w:pStyle w:val="ListParagraph"/>
              <w:numPr>
                <w:ilvl w:val="2"/>
                <w:numId w:val="69"/>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details of FH pattern design</w:t>
            </w:r>
          </w:p>
          <w:p w14:paraId="2E2C6A4C" w14:textId="77777777" w:rsidR="00226B99" w:rsidRPr="005843C9" w:rsidRDefault="00226B99" w:rsidP="00226B99">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78F6B45B" w14:textId="77777777" w:rsidR="00226B99" w:rsidRPr="005843C9" w:rsidRDefault="00226B99" w:rsidP="00226B99">
            <w:pPr>
              <w:pStyle w:val="ListParagraph"/>
              <w:numPr>
                <w:ilvl w:val="2"/>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2B720397" w14:textId="77777777" w:rsidR="00226B99" w:rsidRPr="009C2441" w:rsidRDefault="00226B99" w:rsidP="00226B99">
            <w:pPr>
              <w:pStyle w:val="ListParagraph"/>
              <w:numPr>
                <w:ilvl w:val="3"/>
                <w:numId w:val="69"/>
              </w:numPr>
              <w:overflowPunct/>
              <w:autoSpaceDE/>
              <w:autoSpaceDN/>
              <w:adjustRightInd/>
              <w:spacing w:after="0" w:line="280" w:lineRule="atLeast"/>
              <w:contextualSpacing w:val="0"/>
              <w:jc w:val="both"/>
              <w:textAlignment w:val="auto"/>
              <w:rPr>
                <w:rFonts w:eastAsia="SimSun"/>
                <w:b/>
                <w:bCs/>
              </w:rPr>
            </w:pPr>
            <w:r w:rsidRPr="009C2441">
              <w:rPr>
                <w:rFonts w:eastAsia="SimSun" w:hint="eastAsia"/>
                <w:b/>
                <w:bCs/>
                <w:lang w:eastAsia="zh-CN"/>
              </w:rPr>
              <w:t>F</w:t>
            </w:r>
            <w:r w:rsidRPr="009C2441">
              <w:rPr>
                <w:rFonts w:eastAsia="SimSun"/>
                <w:b/>
                <w:bCs/>
                <w:lang w:eastAsia="zh-CN"/>
              </w:rPr>
              <w:t xml:space="preserve">FS: if both </w:t>
            </w:r>
            <w:r w:rsidRPr="009C2441">
              <w:rPr>
                <w:rFonts w:eastAsia="SimSun"/>
                <w:b/>
                <w:bCs/>
              </w:rPr>
              <w:t>hopping interval and TDW length are not configured</w:t>
            </w:r>
          </w:p>
          <w:p w14:paraId="50008D7F" w14:textId="77777777" w:rsidR="00226B99" w:rsidRPr="005843C9" w:rsidRDefault="00226B99" w:rsidP="00226B99">
            <w:pPr>
              <w:pStyle w:val="ListParagraph"/>
              <w:numPr>
                <w:ilvl w:val="2"/>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40413294" w14:textId="77777777" w:rsidR="00226B99" w:rsidRDefault="00226B99" w:rsidP="00E94D84"/>
        </w:tc>
      </w:tr>
    </w:tbl>
    <w:p w14:paraId="0D0798BA" w14:textId="77777777" w:rsidR="00226B99" w:rsidRDefault="00226B99" w:rsidP="00226B99"/>
    <w:p w14:paraId="777AC25A" w14:textId="77777777" w:rsidR="00226B99" w:rsidRDefault="00226B99" w:rsidP="00226B99">
      <w:r>
        <w:t>In the following we discuss the determination of the frequency hopping pattern and its dependence on physical slot indices.</w:t>
      </w:r>
    </w:p>
    <w:p w14:paraId="3B7EEC09" w14:textId="77777777" w:rsidR="00226B99" w:rsidRDefault="00226B99" w:rsidP="00226B99">
      <w:r>
        <w:t>We propose the following procedure to describe how inter-slot frequency hopping and DMRS bundling may interact with each other and be enabled at the same time.</w:t>
      </w:r>
    </w:p>
    <w:p w14:paraId="0F31DA22" w14:textId="77777777" w:rsidR="00226B99" w:rsidRDefault="00226B99" w:rsidP="00226B99">
      <w:r>
        <w:t>For the purposes of DMRS bundling, a gNB may configure a UE with a new frequency hopping pattern. This new frequency pattern defines groups of contiguous physical slots that are assigned to each frequency hop. For example, slots 0 to 3 could be assigned to first hop, slots 4 to 7 could be assigned to second hop, and so on. Note that this a predetermined/static mapping between hops to physical slots. This strives to prioritize frequency hopping and the efficient use of resources over DMRS bundling.</w:t>
      </w:r>
    </w:p>
    <w:p w14:paraId="0689FB0F" w14:textId="77777777" w:rsidR="00226B99" w:rsidRDefault="00226B99" w:rsidP="00226B99">
      <w:r>
        <w:t>Thus, once UE determines the set of available slots for a sequence of PUSCH repetitions, it assigns hop indices to each slot that’s available based on the predetermined hopping patter that it is configured with. Once these two steps are completed, it proceeds to determining the placement of the time domain windows. Hop indices are factored into time domain window locations and two slots with different hop indices are not bundled together.</w:t>
      </w:r>
    </w:p>
    <w:p w14:paraId="76712478" w14:textId="77777777" w:rsidR="00226B99" w:rsidRDefault="00226B99" w:rsidP="00226B99">
      <w:r>
        <w:t>The three-step procedure can be summarized as follows:</w:t>
      </w:r>
    </w:p>
    <w:p w14:paraId="6D910E5F" w14:textId="77777777" w:rsidR="00226B99" w:rsidRDefault="00226B99" w:rsidP="00226B99">
      <w:pPr>
        <w:pStyle w:val="ListParagraph"/>
        <w:numPr>
          <w:ilvl w:val="0"/>
          <w:numId w:val="62"/>
        </w:numPr>
        <w:overflowPunct/>
        <w:autoSpaceDE/>
        <w:autoSpaceDN/>
        <w:adjustRightInd/>
        <w:spacing w:after="0"/>
        <w:contextualSpacing w:val="0"/>
        <w:textAlignment w:val="auto"/>
      </w:pPr>
      <w:r>
        <w:t>Identify available slots for PUSCH/PUCCH reps</w:t>
      </w:r>
    </w:p>
    <w:p w14:paraId="70E1393C" w14:textId="77777777" w:rsidR="00226B99" w:rsidRDefault="00226B99" w:rsidP="00226B99">
      <w:pPr>
        <w:pStyle w:val="ListParagraph"/>
        <w:numPr>
          <w:ilvl w:val="0"/>
          <w:numId w:val="62"/>
        </w:numPr>
        <w:overflowPunct/>
        <w:autoSpaceDE/>
        <w:autoSpaceDN/>
        <w:adjustRightInd/>
        <w:spacing w:after="0"/>
        <w:contextualSpacing w:val="0"/>
        <w:textAlignment w:val="auto"/>
      </w:pPr>
      <w:r>
        <w:t>Determine frequency hopping index for each available slot based on the configured hopping pattern for DMRS bundling</w:t>
      </w:r>
    </w:p>
    <w:p w14:paraId="0B5DB434" w14:textId="77777777" w:rsidR="00226B99" w:rsidRDefault="00226B99" w:rsidP="00226B99">
      <w:pPr>
        <w:pStyle w:val="ListParagraph"/>
        <w:numPr>
          <w:ilvl w:val="0"/>
          <w:numId w:val="62"/>
        </w:numPr>
        <w:overflowPunct/>
        <w:autoSpaceDE/>
        <w:autoSpaceDN/>
        <w:adjustRightInd/>
        <w:spacing w:after="0"/>
        <w:contextualSpacing w:val="0"/>
        <w:textAlignment w:val="auto"/>
      </w:pPr>
      <w:r>
        <w:t>Determine configured TDWs for DMRS bundling assuming frequency hop allocations made in Step 2. UE ensures that no two slots with different hop indices are bundled together.</w:t>
      </w:r>
    </w:p>
    <w:p w14:paraId="24D6D6AE" w14:textId="77777777" w:rsidR="00226B99" w:rsidRDefault="00226B99" w:rsidP="00226B99">
      <w:pPr>
        <w:overflowPunct/>
        <w:autoSpaceDE/>
        <w:autoSpaceDN/>
        <w:adjustRightInd/>
        <w:spacing w:after="0"/>
        <w:textAlignment w:val="auto"/>
      </w:pPr>
    </w:p>
    <w:p w14:paraId="60F695FE" w14:textId="77777777" w:rsidR="00226B99" w:rsidRDefault="00226B99" w:rsidP="00226B99">
      <w:pPr>
        <w:overflowPunct/>
        <w:autoSpaceDE/>
        <w:autoSpaceDN/>
        <w:adjustRightInd/>
        <w:spacing w:after="0"/>
        <w:textAlignment w:val="auto"/>
      </w:pPr>
      <w:r>
        <w:t>The above process is figuratively represented below, where a UE is scheduled to transmit PUSCH with 8 repetitions and a 4-slot hopping pattern. Note that the hopping pattern is decoupled from the start of PUSCH repetitions.</w:t>
      </w:r>
    </w:p>
    <w:p w14:paraId="6EE527BC" w14:textId="77777777" w:rsidR="00226B99" w:rsidRDefault="00226B99" w:rsidP="00226B99">
      <w:pPr>
        <w:overflowPunct/>
        <w:autoSpaceDE/>
        <w:autoSpaceDN/>
        <w:adjustRightInd/>
        <w:spacing w:after="0"/>
        <w:textAlignment w:val="auto"/>
      </w:pPr>
    </w:p>
    <w:p w14:paraId="683237CD" w14:textId="46DA62A8" w:rsidR="00226B99" w:rsidRDefault="00226B99" w:rsidP="00226B99">
      <w:pPr>
        <w:keepNext/>
        <w:overflowPunct/>
        <w:autoSpaceDE/>
        <w:autoSpaceDN/>
        <w:adjustRightInd/>
        <w:spacing w:after="0"/>
        <w:textAlignment w:val="auto"/>
      </w:pPr>
      <w:r>
        <w:rPr>
          <w:noProof/>
        </w:rPr>
        <w:lastRenderedPageBreak/>
        <w:drawing>
          <wp:inline distT="0" distB="0" distL="0" distR="0" wp14:anchorId="5B4189D3" wp14:editId="3C4F8161">
            <wp:extent cx="5653915" cy="1136650"/>
            <wp:effectExtent l="0" t="0" r="4445" b="6350"/>
            <wp:docPr id="7" name="Picture 7"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9386" cy="1153833"/>
                    </a:xfrm>
                    <a:prstGeom prst="rect">
                      <a:avLst/>
                    </a:prstGeom>
                    <a:noFill/>
                    <a:ln>
                      <a:noFill/>
                    </a:ln>
                  </pic:spPr>
                </pic:pic>
              </a:graphicData>
            </a:graphic>
          </wp:inline>
        </w:drawing>
      </w:r>
    </w:p>
    <w:p w14:paraId="6993B1E0" w14:textId="77777777" w:rsidR="00226B99" w:rsidRDefault="00226B99" w:rsidP="00226B99">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Inter-slot frequency hopping with DMRS bundling</w:t>
      </w:r>
    </w:p>
    <w:p w14:paraId="621BC89F" w14:textId="77777777" w:rsidR="00226B99" w:rsidRPr="00BD1214" w:rsidRDefault="00226B99" w:rsidP="00226B99">
      <w:r w:rsidRPr="00BD1214">
        <w:t>With the above discussion in mind, we make the following proposal.</w:t>
      </w:r>
    </w:p>
    <w:p w14:paraId="215EC9A6" w14:textId="09BA5CB9" w:rsidR="000B2115" w:rsidRDefault="00226B99" w:rsidP="00D53D65">
      <w:r w:rsidRPr="009D512C">
        <w:rPr>
          <w:b/>
          <w:bCs/>
        </w:rPr>
        <w:t>Proposal</w:t>
      </w:r>
      <w:r>
        <w:rPr>
          <w:b/>
          <w:bCs/>
        </w:rPr>
        <w:t xml:space="preserve"> </w:t>
      </w:r>
      <w:r w:rsidR="003C7742">
        <w:rPr>
          <w:b/>
          <w:bCs/>
        </w:rPr>
        <w:t>2</w:t>
      </w:r>
      <w:r w:rsidRPr="009D512C">
        <w:rPr>
          <w:b/>
          <w:bCs/>
        </w:rPr>
        <w:t xml:space="preserve">: </w:t>
      </w:r>
      <w:r w:rsidRPr="00BD1214">
        <w:t>Frequency hopping pattern</w:t>
      </w:r>
      <w:r w:rsidR="00071463">
        <w:t xml:space="preserve"> for DMRS bundling across PUCCH transmissions</w:t>
      </w:r>
      <w:r w:rsidRPr="00BD1214">
        <w:t xml:space="preserve"> is determined based on physical slot indices.</w:t>
      </w:r>
      <w:r>
        <w:rPr>
          <w:b/>
          <w:bCs/>
        </w:rPr>
        <w:t xml:space="preserve"> </w:t>
      </w:r>
      <w:bookmarkStart w:id="2" w:name="_Hlk71027981"/>
    </w:p>
    <w:bookmarkEnd w:id="2"/>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342E2CA7" w:rsidR="009A3BAA" w:rsidRDefault="009A3BAA" w:rsidP="009A3BAA">
      <w:pPr>
        <w:jc w:val="both"/>
      </w:pPr>
      <w:r w:rsidRPr="003E242C">
        <w:t xml:space="preserve">This document presents our views on DMRS bundling across PUCCH repetitions. </w:t>
      </w:r>
      <w:proofErr w:type="gramStart"/>
      <w:r w:rsidRPr="003E242C">
        <w:t>In particular, we</w:t>
      </w:r>
      <w:proofErr w:type="gramEnd"/>
      <w:r w:rsidRPr="003E242C">
        <w:t xml:space="preserve"> ma</w:t>
      </w:r>
      <w:r w:rsidR="003C7742">
        <w:t>k</w:t>
      </w:r>
      <w:r w:rsidRPr="003E242C">
        <w:t xml:space="preserve">e the following proposals: </w:t>
      </w:r>
      <w:r w:rsidR="003C7742">
        <w:br/>
      </w:r>
    </w:p>
    <w:p w14:paraId="75CBC7D7" w14:textId="77777777" w:rsidR="003C7742" w:rsidRPr="00FF106E" w:rsidRDefault="003C7742" w:rsidP="003C7742">
      <w:pPr>
        <w:rPr>
          <w:lang w:val="en-GB" w:eastAsia="ko-KR"/>
        </w:rPr>
      </w:pPr>
      <w:r w:rsidRPr="008C6E77">
        <w:rPr>
          <w:b/>
        </w:rPr>
        <w:t>Proposal</w:t>
      </w:r>
      <w:r>
        <w:rPr>
          <w:b/>
        </w:rPr>
        <w:t xml:space="preserve"> 1</w:t>
      </w:r>
      <w:r w:rsidRPr="008C6E77">
        <w:rPr>
          <w:b/>
        </w:rPr>
        <w:t>:</w:t>
      </w:r>
      <w:r>
        <w:rPr>
          <w:bCs/>
        </w:rPr>
        <w:t xml:space="preserve"> Configure </w:t>
      </w:r>
      <w:r w:rsidRPr="00D270BE">
        <w:rPr>
          <w:bCs/>
          <w:i/>
          <w:iCs/>
        </w:rPr>
        <w:t>PUCCH-DMRS-Bundling</w:t>
      </w:r>
      <w:r>
        <w:rPr>
          <w:bCs/>
        </w:rPr>
        <w:t xml:space="preserve"> and </w:t>
      </w:r>
      <w:r w:rsidRPr="00D270BE">
        <w:rPr>
          <w:bCs/>
          <w:i/>
          <w:iCs/>
        </w:rPr>
        <w:t>PUCCH-</w:t>
      </w:r>
      <w:proofErr w:type="spellStart"/>
      <w:r w:rsidRPr="00D270BE">
        <w:rPr>
          <w:bCs/>
          <w:i/>
          <w:iCs/>
        </w:rPr>
        <w:t>TimeDomainWindowLength</w:t>
      </w:r>
      <w:proofErr w:type="spellEnd"/>
      <w:r>
        <w:rPr>
          <w:bCs/>
        </w:rPr>
        <w:t xml:space="preserve"> independently for each PUCCH format. </w:t>
      </w:r>
    </w:p>
    <w:p w14:paraId="586F8879" w14:textId="77777777" w:rsidR="003C7742" w:rsidRDefault="003C7742" w:rsidP="003C7742">
      <w:r w:rsidRPr="009D512C">
        <w:rPr>
          <w:b/>
          <w:bCs/>
        </w:rPr>
        <w:t>Proposal</w:t>
      </w:r>
      <w:r>
        <w:rPr>
          <w:b/>
          <w:bCs/>
        </w:rPr>
        <w:t xml:space="preserve"> 2</w:t>
      </w:r>
      <w:r w:rsidRPr="009D512C">
        <w:rPr>
          <w:b/>
          <w:bCs/>
        </w:rPr>
        <w:t xml:space="preserve">: </w:t>
      </w:r>
      <w:r w:rsidRPr="00BD1214">
        <w:t>Frequency hopping pattern</w:t>
      </w:r>
      <w:r>
        <w:t xml:space="preserve"> for DMRS bundling across PUCCH transmissions</w:t>
      </w:r>
      <w:r w:rsidRPr="00BD1214">
        <w:t xml:space="preserve"> is determined based on physical slot indices.</w:t>
      </w:r>
      <w:r>
        <w:rPr>
          <w:b/>
          <w:bCs/>
        </w:rPr>
        <w:t xml:space="preserve"> </w:t>
      </w:r>
    </w:p>
    <w:bookmarkEnd w:id="1"/>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5EDC80A2" w14:textId="5E2B4D88" w:rsidR="00BD2FD9" w:rsidRPr="000E63F2" w:rsidRDefault="00BD2FD9">
      <w:pPr>
        <w:pStyle w:val="ListParagraph"/>
        <w:numPr>
          <w:ilvl w:val="0"/>
          <w:numId w:val="40"/>
        </w:numPr>
      </w:pPr>
      <w:r w:rsidRPr="00BD2FD9">
        <w:rPr>
          <w:rFonts w:eastAsia="Times New Roman"/>
          <w:lang w:val="en-GB" w:eastAsia="en-GB"/>
        </w:rPr>
        <w:t>Chairman notes, 3GPP TSG RAN1 meeting #10</w:t>
      </w:r>
      <w:r w:rsidR="004236F4">
        <w:rPr>
          <w:rFonts w:eastAsia="Times New Roman"/>
          <w:lang w:val="en-GB" w:eastAsia="en-GB"/>
        </w:rPr>
        <w:t>7</w:t>
      </w:r>
      <w:r w:rsidRPr="00BD2FD9">
        <w:rPr>
          <w:rFonts w:eastAsia="Times New Roman"/>
          <w:lang w:val="en-GB" w:eastAsia="en-GB"/>
        </w:rPr>
        <w:t xml:space="preserve">-e, e-Meeting, </w:t>
      </w:r>
      <w:r w:rsidR="004236F4">
        <w:rPr>
          <w:rFonts w:eastAsia="Times New Roman"/>
          <w:lang w:val="en-GB" w:eastAsia="en-GB"/>
        </w:rPr>
        <w:t>November</w:t>
      </w:r>
      <w:r w:rsidRPr="00BD2FD9">
        <w:rPr>
          <w:rFonts w:eastAsia="Times New Roman"/>
          <w:lang w:val="en-GB" w:eastAsia="en-GB"/>
        </w:rPr>
        <w:t xml:space="preserve"> 1</w:t>
      </w:r>
      <w:r w:rsidR="004236F4">
        <w:rPr>
          <w:rFonts w:eastAsia="Times New Roman"/>
          <w:lang w:val="en-GB" w:eastAsia="en-GB"/>
        </w:rPr>
        <w:t>1</w:t>
      </w:r>
      <w:r w:rsidRPr="00BD2FD9">
        <w:rPr>
          <w:rFonts w:eastAsia="Times New Roman"/>
          <w:lang w:val="en-GB" w:eastAsia="en-GB"/>
        </w:rPr>
        <w:t xml:space="preserve">th – </w:t>
      </w:r>
      <w:r w:rsidR="004236F4">
        <w:rPr>
          <w:rFonts w:eastAsia="Times New Roman"/>
          <w:lang w:val="en-GB" w:eastAsia="en-GB"/>
        </w:rPr>
        <w:t>19</w:t>
      </w:r>
      <w:r w:rsidRPr="00BD2FD9">
        <w:rPr>
          <w:rFonts w:eastAsia="Times New Roman"/>
          <w:lang w:val="en-GB" w:eastAsia="en-GB"/>
        </w:rPr>
        <w:t>th, 2021.</w:t>
      </w:r>
    </w:p>
    <w:p w14:paraId="294F0C50" w14:textId="225E72D6" w:rsidR="00DD283F" w:rsidRDefault="00DD283F" w:rsidP="00DD283F">
      <w:pPr>
        <w:pStyle w:val="Heading1"/>
        <w:numPr>
          <w:ilvl w:val="0"/>
          <w:numId w:val="0"/>
        </w:numPr>
        <w:ind w:left="432" w:hanging="432"/>
        <w:rPr>
          <w:lang w:val="en-US"/>
        </w:rPr>
      </w:pPr>
      <w:r>
        <w:rPr>
          <w:lang w:val="en-US"/>
        </w:rPr>
        <w:t xml:space="preserve">Appendix </w:t>
      </w:r>
      <w:r w:rsidR="00F40494">
        <w:rPr>
          <w:lang w:val="en-US"/>
        </w:rPr>
        <w:t>A</w:t>
      </w:r>
      <w:r>
        <w:rPr>
          <w:lang w:val="en-US"/>
        </w:rPr>
        <w:t>: Agreements in RAN1 10</w:t>
      </w:r>
      <w:r w:rsidR="004236F4">
        <w:rPr>
          <w:lang w:val="en-US"/>
        </w:rPr>
        <w:t>7</w:t>
      </w:r>
      <w:r>
        <w:rPr>
          <w:lang w:val="en-US"/>
        </w:rPr>
        <w:t>-e e-meeting</w:t>
      </w:r>
      <w:r w:rsidR="004236F4">
        <w:rPr>
          <w:lang w:val="en-US"/>
        </w:rPr>
        <w:t xml:space="preserve"> [1]</w:t>
      </w:r>
    </w:p>
    <w:p w14:paraId="1EE609B9" w14:textId="77777777" w:rsidR="00D84ECE" w:rsidRDefault="00D84ECE" w:rsidP="00D84ECE">
      <w:pPr>
        <w:jc w:val="both"/>
      </w:pPr>
    </w:p>
    <w:tbl>
      <w:tblPr>
        <w:tblStyle w:val="TableGrid"/>
        <w:tblW w:w="0" w:type="auto"/>
        <w:tblLook w:val="04A0" w:firstRow="1" w:lastRow="0" w:firstColumn="1" w:lastColumn="0" w:noHBand="0" w:noVBand="1"/>
      </w:tblPr>
      <w:tblGrid>
        <w:gridCol w:w="9350"/>
      </w:tblGrid>
      <w:tr w:rsidR="00D84ECE" w14:paraId="280DFF59" w14:textId="77777777" w:rsidTr="00433E99">
        <w:tc>
          <w:tcPr>
            <w:tcW w:w="9350" w:type="dxa"/>
          </w:tcPr>
          <w:p w14:paraId="4DC2A632" w14:textId="77777777" w:rsidR="00665880" w:rsidRPr="00510519" w:rsidRDefault="00D84ECE" w:rsidP="00665880">
            <w:pPr>
              <w:rPr>
                <w:highlight w:val="green"/>
              </w:rPr>
            </w:pPr>
            <w:r w:rsidRPr="000D3D4D">
              <w:t xml:space="preserve"> </w:t>
            </w:r>
            <w:r w:rsidR="00665880" w:rsidRPr="00510519">
              <w:rPr>
                <w:b/>
                <w:bCs/>
                <w:highlight w:val="green"/>
              </w:rPr>
              <w:t>Agreement</w:t>
            </w:r>
            <w:r w:rsidR="00665880" w:rsidRPr="00510519">
              <w:rPr>
                <w:highlight w:val="green"/>
              </w:rPr>
              <w:t xml:space="preserve"> </w:t>
            </w:r>
          </w:p>
          <w:p w14:paraId="3F6EAECF" w14:textId="77777777" w:rsidR="00665880" w:rsidRDefault="00665880" w:rsidP="00665880">
            <w:pPr>
              <w:rPr>
                <w:b/>
                <w:bCs/>
              </w:rPr>
            </w:pPr>
            <w:r>
              <w:rPr>
                <w:b/>
                <w:bCs/>
              </w:rPr>
              <w:t xml:space="preserve">For a PUCCH resource to transmit a PUCCH without an associated </w:t>
            </w:r>
            <w:r w:rsidRPr="00CE7AB8">
              <w:rPr>
                <w:b/>
                <w:bCs/>
              </w:rPr>
              <w:t xml:space="preserve">scheduling </w:t>
            </w:r>
            <w:r>
              <w:rPr>
                <w:b/>
                <w:bCs/>
              </w:rPr>
              <w:t>DCI (</w:t>
            </w:r>
            <w:proofErr w:type="gramStart"/>
            <w:r>
              <w:rPr>
                <w:b/>
                <w:bCs/>
              </w:rPr>
              <w:t>e.g.</w:t>
            </w:r>
            <w:proofErr w:type="gramEnd"/>
            <w:r>
              <w:rPr>
                <w:b/>
                <w:bCs/>
              </w:rPr>
              <w:t xml:space="preserve"> P/SP-CSI or SR), if the PUCCH resource is configured with RRC parameter “nrofSlots-r17”, “nrofSlots-r17” is ignored and the RRC parameter “</w:t>
            </w:r>
            <w:proofErr w:type="spellStart"/>
            <w:r>
              <w:rPr>
                <w:b/>
                <w:bCs/>
              </w:rPr>
              <w:t>nrofSlots</w:t>
            </w:r>
            <w:proofErr w:type="spellEnd"/>
            <w:r>
              <w:rPr>
                <w:b/>
                <w:bCs/>
              </w:rPr>
              <w:t>” is used for determining the repetition factor of the specific PUCCH resource.</w:t>
            </w:r>
          </w:p>
          <w:p w14:paraId="5E844663" w14:textId="77777777" w:rsidR="00665880" w:rsidRPr="00510519" w:rsidRDefault="00665880" w:rsidP="00665880">
            <w:pPr>
              <w:rPr>
                <w:rFonts w:eastAsia="Times New Roman"/>
                <w:b/>
                <w:bCs/>
                <w:highlight w:val="green"/>
              </w:rPr>
            </w:pPr>
            <w:r w:rsidRPr="00510519">
              <w:rPr>
                <w:rFonts w:eastAsia="Times New Roman"/>
                <w:b/>
                <w:bCs/>
                <w:highlight w:val="green"/>
              </w:rPr>
              <w:t>Agreement</w:t>
            </w:r>
          </w:p>
          <w:p w14:paraId="138D3E7A" w14:textId="77777777" w:rsidR="00665880" w:rsidRDefault="00665880" w:rsidP="00665880">
            <w:pPr>
              <w:rPr>
                <w:rFonts w:eastAsia="Times New Roman"/>
                <w:b/>
                <w:bCs/>
              </w:rPr>
            </w:pPr>
            <w:r>
              <w:rPr>
                <w:rFonts w:eastAsia="Times New Roman"/>
                <w:b/>
                <w:bCs/>
              </w:rPr>
              <w:t>The following use case 5 of PUCCH DMRS bundling is not supported in Rel-17</w:t>
            </w:r>
          </w:p>
          <w:p w14:paraId="2CA28120" w14:textId="77777777" w:rsidR="00665880" w:rsidRDefault="00665880" w:rsidP="00665880">
            <w:pPr>
              <w:pStyle w:val="ListParagraph"/>
              <w:numPr>
                <w:ilvl w:val="0"/>
                <w:numId w:val="71"/>
              </w:numPr>
              <w:overflowPunct/>
              <w:autoSpaceDE/>
              <w:autoSpaceDN/>
              <w:adjustRightInd/>
              <w:spacing w:after="0"/>
              <w:contextualSpacing w:val="0"/>
              <w:jc w:val="both"/>
              <w:rPr>
                <w:rFonts w:eastAsia="Times New Roman"/>
                <w:b/>
                <w:bCs/>
              </w:rPr>
            </w:pPr>
            <w:r>
              <w:rPr>
                <w:b/>
                <w:bCs/>
                <w:lang w:eastAsia="ko-KR"/>
              </w:rPr>
              <w:t xml:space="preserve">Use case 5: PUCCH </w:t>
            </w:r>
            <w:r>
              <w:rPr>
                <w:b/>
                <w:bCs/>
              </w:rPr>
              <w:t xml:space="preserve">repetitions </w:t>
            </w:r>
            <w:r>
              <w:rPr>
                <w:b/>
                <w:bCs/>
                <w:lang w:eastAsia="ko-KR"/>
              </w:rPr>
              <w:t>across non-consecutive slots.</w:t>
            </w:r>
          </w:p>
          <w:p w14:paraId="714061F1" w14:textId="77777777" w:rsidR="00665880" w:rsidRDefault="00665880" w:rsidP="00665880">
            <w:pPr>
              <w:pStyle w:val="ListParagraph"/>
              <w:numPr>
                <w:ilvl w:val="1"/>
                <w:numId w:val="71"/>
              </w:numPr>
              <w:overflowPunct/>
              <w:autoSpaceDE/>
              <w:autoSpaceDN/>
              <w:adjustRightInd/>
              <w:spacing w:after="0"/>
              <w:contextualSpacing w:val="0"/>
              <w:jc w:val="both"/>
              <w:rPr>
                <w:b/>
                <w:bCs/>
                <w:lang w:eastAsia="ko-KR"/>
              </w:rPr>
            </w:pPr>
            <w:r>
              <w:rPr>
                <w:b/>
                <w:bCs/>
                <w:lang w:eastAsia="ko-KR"/>
              </w:rPr>
              <w:t>Use case 5a: no uplink transmission in the middle of two PUCCH repetitions</w:t>
            </w:r>
          </w:p>
          <w:p w14:paraId="4DFA5907" w14:textId="77777777" w:rsidR="00665880" w:rsidRPr="00913A41" w:rsidRDefault="00665880" w:rsidP="00665880">
            <w:pPr>
              <w:pStyle w:val="ListParagraph"/>
              <w:numPr>
                <w:ilvl w:val="1"/>
                <w:numId w:val="71"/>
              </w:numPr>
              <w:overflowPunct/>
              <w:autoSpaceDE/>
              <w:autoSpaceDN/>
              <w:adjustRightInd/>
              <w:spacing w:after="0"/>
              <w:contextualSpacing w:val="0"/>
              <w:jc w:val="both"/>
              <w:rPr>
                <w:b/>
                <w:bCs/>
                <w:lang w:eastAsia="ko-KR"/>
              </w:rPr>
            </w:pPr>
            <w:r>
              <w:rPr>
                <w:b/>
                <w:bCs/>
                <w:lang w:eastAsia="ko-KR"/>
              </w:rPr>
              <w:t>Use case 5b: other uplink transmissions in the middle of two PUCCH repetitions</w:t>
            </w:r>
          </w:p>
          <w:p w14:paraId="183652C3" w14:textId="77777777" w:rsidR="00665880" w:rsidRDefault="00665880" w:rsidP="00665880">
            <w:pPr>
              <w:rPr>
                <w:b/>
                <w:highlight w:val="magenta"/>
                <w:lang w:eastAsia="zh-CN"/>
              </w:rPr>
            </w:pPr>
          </w:p>
          <w:p w14:paraId="7711C7EC" w14:textId="77777777" w:rsidR="00665880" w:rsidRPr="00510519" w:rsidRDefault="00665880" w:rsidP="00665880">
            <w:pPr>
              <w:rPr>
                <w:b/>
                <w:highlight w:val="green"/>
                <w:lang w:eastAsia="zh-CN"/>
              </w:rPr>
            </w:pPr>
            <w:r w:rsidRPr="00510519">
              <w:rPr>
                <w:b/>
                <w:highlight w:val="green"/>
                <w:lang w:eastAsia="zh-CN"/>
              </w:rPr>
              <w:t xml:space="preserve">Agreement  </w:t>
            </w:r>
          </w:p>
          <w:p w14:paraId="002F94B6" w14:textId="77777777" w:rsidR="00665880" w:rsidRDefault="00665880" w:rsidP="00665880">
            <w:pPr>
              <w:rPr>
                <w:b/>
                <w:lang w:eastAsia="zh-CN"/>
              </w:rPr>
            </w:pPr>
            <w:r w:rsidRPr="00913A41">
              <w:rPr>
                <w:b/>
                <w:lang w:eastAsia="zh-CN"/>
              </w:rPr>
              <w:t>For PUCCH DMRS bundling, when appliable, reuse the procedure developed for PUSCH DMRS bundling to determine configured TDW(s) and actual TDW(s).</w:t>
            </w:r>
          </w:p>
          <w:p w14:paraId="3C68B3DA" w14:textId="77777777" w:rsidR="00665880" w:rsidRPr="0058510D" w:rsidRDefault="00665880" w:rsidP="00665880">
            <w:pPr>
              <w:pStyle w:val="ListParagraph"/>
              <w:numPr>
                <w:ilvl w:val="0"/>
                <w:numId w:val="72"/>
              </w:numPr>
              <w:overflowPunct/>
              <w:autoSpaceDE/>
              <w:autoSpaceDN/>
              <w:adjustRightInd/>
              <w:spacing w:after="160" w:line="280" w:lineRule="atLeast"/>
              <w:contextualSpacing w:val="0"/>
              <w:jc w:val="both"/>
              <w:textAlignment w:val="auto"/>
              <w:rPr>
                <w:b/>
                <w:bCs/>
                <w:lang w:eastAsia="zh-CN"/>
              </w:rPr>
            </w:pPr>
            <w:r w:rsidRPr="00913A41">
              <w:rPr>
                <w:b/>
                <w:bCs/>
                <w:lang w:eastAsia="zh-CN"/>
              </w:rPr>
              <w:t>FFS: events for PUCCH actual TDW(s)</w:t>
            </w:r>
          </w:p>
          <w:p w14:paraId="17C892B5" w14:textId="77777777" w:rsidR="00665880" w:rsidRDefault="00665880" w:rsidP="00665880">
            <w:pPr>
              <w:rPr>
                <w:highlight w:val="cyan"/>
                <w:lang w:eastAsia="x-none"/>
              </w:rPr>
            </w:pPr>
          </w:p>
          <w:p w14:paraId="04B0E9D2" w14:textId="77777777" w:rsidR="00665880" w:rsidRPr="00717D44" w:rsidRDefault="00665880" w:rsidP="00665880">
            <w:pPr>
              <w:rPr>
                <w:b/>
                <w:bCs/>
                <w:highlight w:val="green"/>
              </w:rPr>
            </w:pPr>
            <w:r w:rsidRPr="00717D44">
              <w:rPr>
                <w:b/>
                <w:highlight w:val="green"/>
                <w:lang w:eastAsia="zh-CN"/>
              </w:rPr>
              <w:t>Agreement</w:t>
            </w:r>
            <w:r w:rsidRPr="00717D44">
              <w:rPr>
                <w:b/>
                <w:bCs/>
                <w:highlight w:val="green"/>
              </w:rPr>
              <w:t xml:space="preserve"> </w:t>
            </w:r>
          </w:p>
          <w:p w14:paraId="1206DC62" w14:textId="77777777" w:rsidR="00665880" w:rsidRDefault="00665880" w:rsidP="00665880">
            <w:pPr>
              <w:rPr>
                <w:b/>
                <w:bCs/>
              </w:rPr>
            </w:pPr>
            <w:r>
              <w:rPr>
                <w:b/>
                <w:bCs/>
              </w:rPr>
              <w:lastRenderedPageBreak/>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2C414CD5" w14:textId="77777777" w:rsidR="00665880" w:rsidRDefault="00665880" w:rsidP="00665880">
            <w:pPr>
              <w:pStyle w:val="ListParagraph"/>
              <w:numPr>
                <w:ilvl w:val="0"/>
                <w:numId w:val="69"/>
              </w:numPr>
              <w:overflowPunct/>
              <w:autoSpaceDE/>
              <w:autoSpaceDN/>
              <w:adjustRightInd/>
              <w:spacing w:after="0" w:line="280" w:lineRule="atLeast"/>
              <w:contextualSpacing w:val="0"/>
              <w:jc w:val="both"/>
              <w:textAlignment w:val="auto"/>
              <w:rPr>
                <w:rFonts w:eastAsia="SimSun"/>
                <w:b/>
                <w:bCs/>
                <w:szCs w:val="18"/>
              </w:rPr>
            </w:pPr>
            <w:r>
              <w:rPr>
                <w:rFonts w:eastAsia="SimSun"/>
                <w:b/>
                <w:bCs/>
                <w:szCs w:val="18"/>
              </w:rPr>
              <w:t>Option 1: “hopping intervals determination” -&gt; “configured TDW determination” -&gt; “actual TDW determination”</w:t>
            </w:r>
          </w:p>
          <w:p w14:paraId="602D47D1" w14:textId="77777777" w:rsidR="00665880" w:rsidRPr="00766931" w:rsidRDefault="00665880" w:rsidP="00665880">
            <w:pPr>
              <w:pStyle w:val="ListParagraph"/>
              <w:numPr>
                <w:ilvl w:val="1"/>
                <w:numId w:val="69"/>
              </w:numPr>
              <w:overflowPunct/>
              <w:autoSpaceDE/>
              <w:autoSpaceDN/>
              <w:adjustRightInd/>
              <w:spacing w:after="0" w:line="280" w:lineRule="atLeast"/>
              <w:contextualSpacing w:val="0"/>
              <w:jc w:val="both"/>
              <w:textAlignment w:val="auto"/>
              <w:rPr>
                <w:rFonts w:eastAsia="SimSun"/>
                <w:b/>
                <w:bCs/>
                <w:szCs w:val="18"/>
              </w:rPr>
            </w:pPr>
            <w:r w:rsidRPr="00766931">
              <w:rPr>
                <w:rFonts w:eastAsia="SimSun"/>
                <w:b/>
                <w:bCs/>
                <w:szCs w:val="18"/>
                <w:lang w:eastAsia="zh-CN"/>
              </w:rPr>
              <w:t>FFS: DMRS bundling should be restarted in case of frequency hopping event</w:t>
            </w:r>
          </w:p>
          <w:p w14:paraId="4428FEDB" w14:textId="77777777" w:rsidR="00665880" w:rsidRPr="00812FC5" w:rsidRDefault="00665880" w:rsidP="00665880">
            <w:pPr>
              <w:pStyle w:val="ListParagraph"/>
              <w:numPr>
                <w:ilvl w:val="1"/>
                <w:numId w:val="69"/>
              </w:numPr>
              <w:overflowPunct/>
              <w:autoSpaceDE/>
              <w:autoSpaceDN/>
              <w:adjustRightInd/>
              <w:spacing w:after="0" w:line="280" w:lineRule="atLeast"/>
              <w:contextualSpacing w:val="0"/>
              <w:jc w:val="both"/>
              <w:textAlignment w:val="auto"/>
              <w:rPr>
                <w:rFonts w:eastAsia="SimSun"/>
                <w:b/>
                <w:bCs/>
                <w:szCs w:val="18"/>
              </w:rPr>
            </w:pPr>
            <w:r w:rsidRPr="00812FC5">
              <w:rPr>
                <w:rFonts w:eastAsia="SimSun"/>
                <w:b/>
                <w:bCs/>
                <w:szCs w:val="18"/>
              </w:rPr>
              <w:t xml:space="preserve">FFS: whether same or separate RRC configuration(s) for hopping interval and configured TDW. </w:t>
            </w:r>
          </w:p>
          <w:p w14:paraId="73C600E8" w14:textId="77777777" w:rsidR="00665880" w:rsidRDefault="00665880" w:rsidP="00665880">
            <w:pPr>
              <w:pStyle w:val="ListParagraph"/>
              <w:spacing w:line="280" w:lineRule="atLeast"/>
              <w:ind w:left="0"/>
              <w:jc w:val="both"/>
              <w:rPr>
                <w:rFonts w:eastAsia="SimSun"/>
                <w:b/>
                <w:bCs/>
                <w:color w:val="FF0000"/>
                <w:szCs w:val="18"/>
              </w:rPr>
            </w:pPr>
          </w:p>
          <w:p w14:paraId="0E1DACF6" w14:textId="77777777" w:rsidR="00665880" w:rsidRDefault="00665880" w:rsidP="00665880">
            <w:pPr>
              <w:pStyle w:val="ListParagraph"/>
              <w:numPr>
                <w:ilvl w:val="0"/>
                <w:numId w:val="69"/>
              </w:numPr>
              <w:overflowPunct/>
              <w:autoSpaceDE/>
              <w:autoSpaceDN/>
              <w:adjustRightInd/>
              <w:spacing w:after="0" w:line="280" w:lineRule="atLeast"/>
              <w:contextualSpacing w:val="0"/>
              <w:jc w:val="both"/>
              <w:textAlignment w:val="auto"/>
              <w:rPr>
                <w:rFonts w:eastAsia="SimSun"/>
                <w:b/>
                <w:bCs/>
                <w:szCs w:val="18"/>
              </w:rPr>
            </w:pPr>
            <w:r>
              <w:rPr>
                <w:rFonts w:eastAsia="SimSun"/>
                <w:b/>
                <w:bCs/>
                <w:szCs w:val="18"/>
              </w:rPr>
              <w:t>Option 2: “configured TDW determination” -&gt; “hopping intervals determination” -&gt; “actual TDW determination”</w:t>
            </w:r>
          </w:p>
          <w:p w14:paraId="23810367" w14:textId="77777777" w:rsidR="00665880" w:rsidRPr="00056778" w:rsidRDefault="00665880" w:rsidP="00665880">
            <w:pPr>
              <w:rPr>
                <w:highlight w:val="yellow"/>
                <w:lang w:eastAsia="x-none"/>
              </w:rPr>
            </w:pPr>
          </w:p>
          <w:p w14:paraId="276C5C70" w14:textId="77777777" w:rsidR="00665880" w:rsidRPr="00056778" w:rsidRDefault="00665880" w:rsidP="00665880">
            <w:pPr>
              <w:rPr>
                <w:rFonts w:eastAsia="DengXian"/>
                <w:highlight w:val="green"/>
                <w:lang w:eastAsia="zh-CN"/>
              </w:rPr>
            </w:pPr>
            <w:r w:rsidRPr="00056778">
              <w:rPr>
                <w:rFonts w:eastAsia="DengXian"/>
                <w:b/>
                <w:bCs/>
                <w:highlight w:val="green"/>
                <w:lang w:eastAsia="zh-CN"/>
              </w:rPr>
              <w:t>Agreement</w:t>
            </w:r>
            <w:r w:rsidRPr="00056778">
              <w:rPr>
                <w:rFonts w:eastAsia="DengXian"/>
                <w:highlight w:val="green"/>
                <w:lang w:eastAsia="zh-CN"/>
              </w:rPr>
              <w:t xml:space="preserve"> </w:t>
            </w:r>
          </w:p>
          <w:p w14:paraId="0322FC40" w14:textId="77777777" w:rsidR="00665880" w:rsidRPr="00783517" w:rsidRDefault="00665880" w:rsidP="00665880">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7033C245" w14:textId="77777777" w:rsidR="00665880" w:rsidRPr="00783517" w:rsidRDefault="00665880" w:rsidP="00665880"/>
          <w:p w14:paraId="0CB0B28E" w14:textId="77777777" w:rsidR="00665880" w:rsidRPr="00783517" w:rsidRDefault="00665880" w:rsidP="00665880">
            <w:pPr>
              <w:pStyle w:val="ListParagraph"/>
              <w:numPr>
                <w:ilvl w:val="0"/>
                <w:numId w:val="69"/>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71BEA1C3" w14:textId="77777777" w:rsidR="00665880" w:rsidRPr="005843C9" w:rsidRDefault="00665880" w:rsidP="00665880">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3950AE2D" w14:textId="77777777" w:rsidR="00665880" w:rsidRPr="005843C9" w:rsidRDefault="00665880" w:rsidP="00665880">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bunding is per actual TDW</w:t>
            </w:r>
          </w:p>
          <w:p w14:paraId="6736C365" w14:textId="77777777" w:rsidR="00665880" w:rsidRPr="005843C9" w:rsidRDefault="00665880" w:rsidP="00665880">
            <w:pPr>
              <w:pStyle w:val="ListParagraph"/>
              <w:numPr>
                <w:ilvl w:val="1"/>
                <w:numId w:val="69"/>
              </w:numPr>
              <w:overflowPunct/>
              <w:autoSpaceDE/>
              <w:autoSpaceDN/>
              <w:adjustRightInd/>
              <w:spacing w:after="160" w:line="280" w:lineRule="atLeast"/>
              <w:contextualSpacing w:val="0"/>
              <w:jc w:val="both"/>
              <w:textAlignment w:val="auto"/>
              <w:rPr>
                <w:b/>
                <w:bCs/>
              </w:rPr>
            </w:pPr>
            <w:r>
              <w:rPr>
                <w:rFonts w:eastAsia="DengXian"/>
                <w:b/>
                <w:bCs/>
                <w:lang w:eastAsia="zh-CN"/>
              </w:rPr>
              <w:t xml:space="preserve">FFS: </w:t>
            </w:r>
            <w:r w:rsidRPr="005843C9">
              <w:rPr>
                <w:rFonts w:eastAsia="DengXian"/>
                <w:b/>
                <w:bCs/>
                <w:lang w:eastAsia="zh-CN"/>
              </w:rPr>
              <w:t>Frequency hopping pattern is determined by physical slot indices.</w:t>
            </w:r>
          </w:p>
          <w:p w14:paraId="3AF2EBBC" w14:textId="77777777" w:rsidR="00665880" w:rsidRPr="005843C9" w:rsidRDefault="00665880" w:rsidP="00665880">
            <w:pPr>
              <w:pStyle w:val="ListParagraph"/>
              <w:numPr>
                <w:ilvl w:val="2"/>
                <w:numId w:val="69"/>
              </w:numPr>
              <w:overflowPunct/>
              <w:autoSpaceDE/>
              <w:autoSpaceDN/>
              <w:adjustRightInd/>
              <w:spacing w:after="160" w:line="280" w:lineRule="atLeast"/>
              <w:contextualSpacing w:val="0"/>
              <w:jc w:val="both"/>
              <w:textAlignment w:val="auto"/>
              <w:rPr>
                <w:b/>
                <w:bCs/>
              </w:rPr>
            </w:pPr>
            <w:r w:rsidRPr="005843C9">
              <w:rPr>
                <w:rFonts w:eastAsia="DengXian"/>
                <w:b/>
                <w:bCs/>
                <w:lang w:eastAsia="zh-CN"/>
              </w:rPr>
              <w:t>FFS: different FH pattern determination for PUCCH and PUSCH</w:t>
            </w:r>
          </w:p>
          <w:p w14:paraId="144A504F" w14:textId="77777777" w:rsidR="00665880" w:rsidRPr="005843C9" w:rsidRDefault="00665880" w:rsidP="00665880">
            <w:pPr>
              <w:pStyle w:val="ListParagraph"/>
              <w:numPr>
                <w:ilvl w:val="2"/>
                <w:numId w:val="69"/>
              </w:numPr>
              <w:overflowPunct/>
              <w:autoSpaceDE/>
              <w:autoSpaceDN/>
              <w:adjustRightInd/>
              <w:spacing w:after="160" w:line="280" w:lineRule="atLeast"/>
              <w:contextualSpacing w:val="0"/>
              <w:jc w:val="both"/>
              <w:textAlignment w:val="auto"/>
              <w:rPr>
                <w:b/>
                <w:bCs/>
              </w:rPr>
            </w:pPr>
            <w:r w:rsidRPr="005843C9">
              <w:rPr>
                <w:rFonts w:eastAsia="DengXian"/>
                <w:b/>
                <w:bCs/>
                <w:lang w:eastAsia="zh-CN"/>
              </w:rPr>
              <w:t>FFS: details of FH pattern design</w:t>
            </w:r>
          </w:p>
          <w:p w14:paraId="01F7A558" w14:textId="77777777" w:rsidR="00665880" w:rsidRPr="005843C9" w:rsidRDefault="00665880" w:rsidP="00665880">
            <w:pPr>
              <w:pStyle w:val="ListParagraph"/>
              <w:numPr>
                <w:ilvl w:val="1"/>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148ECEC1" w14:textId="77777777" w:rsidR="00665880" w:rsidRPr="005843C9" w:rsidRDefault="00665880" w:rsidP="00665880">
            <w:pPr>
              <w:pStyle w:val="ListParagraph"/>
              <w:numPr>
                <w:ilvl w:val="2"/>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459E74EB" w14:textId="77777777" w:rsidR="00665880" w:rsidRPr="005843C9" w:rsidRDefault="00665880" w:rsidP="00665880">
            <w:pPr>
              <w:pStyle w:val="ListParagraph"/>
              <w:numPr>
                <w:ilvl w:val="3"/>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F</w:t>
            </w:r>
            <w:r w:rsidRPr="005843C9">
              <w:rPr>
                <w:rFonts w:eastAsia="SimSun"/>
                <w:b/>
                <w:bCs/>
                <w:lang w:eastAsia="zh-CN"/>
              </w:rPr>
              <w:t xml:space="preserve">FS: if both </w:t>
            </w:r>
            <w:r w:rsidRPr="005843C9">
              <w:rPr>
                <w:rFonts w:eastAsia="SimSun"/>
                <w:b/>
                <w:bCs/>
              </w:rPr>
              <w:t>hopping interval and TDW length are not configured</w:t>
            </w:r>
          </w:p>
          <w:p w14:paraId="6AF82BB1" w14:textId="77777777" w:rsidR="00665880" w:rsidRPr="005843C9" w:rsidRDefault="00665880" w:rsidP="00665880">
            <w:pPr>
              <w:pStyle w:val="ListParagraph"/>
              <w:numPr>
                <w:ilvl w:val="2"/>
                <w:numId w:val="69"/>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505A0210" w14:textId="4DB11AB7" w:rsidR="00D84ECE" w:rsidRDefault="00D84ECE" w:rsidP="00433E99">
            <w:pPr>
              <w:pStyle w:val="BodyText"/>
              <w:spacing w:before="120"/>
              <w:ind w:left="1128" w:hanging="420"/>
              <w:rPr>
                <w:lang w:eastAsia="ko-KR"/>
              </w:rPr>
            </w:pPr>
          </w:p>
        </w:tc>
      </w:tr>
    </w:tbl>
    <w:p w14:paraId="5D620759" w14:textId="77777777" w:rsidR="00F40494" w:rsidRPr="00EA37B4" w:rsidRDefault="00F40494" w:rsidP="004236F4"/>
    <w:sectPr w:rsidR="00F40494" w:rsidRPr="00EA37B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437A3" w14:textId="77777777" w:rsidR="003E0F71" w:rsidRDefault="003E0F71" w:rsidP="00746535">
      <w:pPr>
        <w:spacing w:after="0"/>
      </w:pPr>
      <w:r>
        <w:separator/>
      </w:r>
    </w:p>
  </w:endnote>
  <w:endnote w:type="continuationSeparator" w:id="0">
    <w:p w14:paraId="2888A166" w14:textId="77777777" w:rsidR="003E0F71" w:rsidRDefault="003E0F71" w:rsidP="00746535">
      <w:pPr>
        <w:spacing w:after="0"/>
      </w:pPr>
      <w:r>
        <w:continuationSeparator/>
      </w:r>
    </w:p>
  </w:endnote>
  <w:endnote w:type="continuationNotice" w:id="1">
    <w:p w14:paraId="6DF69B25" w14:textId="77777777" w:rsidR="003E0F71" w:rsidRDefault="003E0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D392" w14:textId="77777777" w:rsidR="003E0F71" w:rsidRDefault="003E0F71" w:rsidP="00746535">
      <w:pPr>
        <w:spacing w:after="0"/>
      </w:pPr>
      <w:r>
        <w:separator/>
      </w:r>
    </w:p>
  </w:footnote>
  <w:footnote w:type="continuationSeparator" w:id="0">
    <w:p w14:paraId="30CA63E6" w14:textId="77777777" w:rsidR="003E0F71" w:rsidRDefault="003E0F71" w:rsidP="00746535">
      <w:pPr>
        <w:spacing w:after="0"/>
      </w:pPr>
      <w:r>
        <w:continuationSeparator/>
      </w:r>
    </w:p>
  </w:footnote>
  <w:footnote w:type="continuationNotice" w:id="1">
    <w:p w14:paraId="15547EC4" w14:textId="77777777" w:rsidR="003E0F71" w:rsidRDefault="003E0F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033E6"/>
    <w:multiLevelType w:val="hybridMultilevel"/>
    <w:tmpl w:val="823003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FA725F"/>
    <w:multiLevelType w:val="hybridMultilevel"/>
    <w:tmpl w:val="D2B4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59A55657"/>
    <w:multiLevelType w:val="hybridMultilevel"/>
    <w:tmpl w:val="28CA3E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C0C0E3E"/>
    <w:multiLevelType w:val="hybridMultilevel"/>
    <w:tmpl w:val="7CE2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8B61A6"/>
    <w:multiLevelType w:val="hybridMultilevel"/>
    <w:tmpl w:val="E788F64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2ED2BC0"/>
    <w:multiLevelType w:val="hybridMultilevel"/>
    <w:tmpl w:val="3C5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41"/>
  </w:num>
  <w:num w:numId="3">
    <w:abstractNumId w:val="67"/>
  </w:num>
  <w:num w:numId="4">
    <w:abstractNumId w:val="43"/>
  </w:num>
  <w:num w:numId="5">
    <w:abstractNumId w:val="39"/>
  </w:num>
  <w:num w:numId="6">
    <w:abstractNumId w:val="5"/>
  </w:num>
  <w:num w:numId="7">
    <w:abstractNumId w:val="65"/>
  </w:num>
  <w:num w:numId="8">
    <w:abstractNumId w:val="36"/>
  </w:num>
  <w:num w:numId="9">
    <w:abstractNumId w:val="54"/>
  </w:num>
  <w:num w:numId="10">
    <w:abstractNumId w:val="40"/>
  </w:num>
  <w:num w:numId="11">
    <w:abstractNumId w:val="24"/>
  </w:num>
  <w:num w:numId="12">
    <w:abstractNumId w:val="2"/>
  </w:num>
  <w:num w:numId="13">
    <w:abstractNumId w:val="3"/>
  </w:num>
  <w:num w:numId="14">
    <w:abstractNumId w:val="63"/>
  </w:num>
  <w:num w:numId="15">
    <w:abstractNumId w:val="0"/>
  </w:num>
  <w:num w:numId="16">
    <w:abstractNumId w:val="45"/>
  </w:num>
  <w:num w:numId="17">
    <w:abstractNumId w:val="47"/>
  </w:num>
  <w:num w:numId="18">
    <w:abstractNumId w:val="66"/>
  </w:num>
  <w:num w:numId="19">
    <w:abstractNumId w:val="25"/>
  </w:num>
  <w:num w:numId="20">
    <w:abstractNumId w:val="38"/>
  </w:num>
  <w:num w:numId="21">
    <w:abstractNumId w:val="32"/>
  </w:num>
  <w:num w:numId="22">
    <w:abstractNumId w:val="27"/>
  </w:num>
  <w:num w:numId="23">
    <w:abstractNumId w:val="23"/>
  </w:num>
  <w:num w:numId="24">
    <w:abstractNumId w:val="14"/>
  </w:num>
  <w:num w:numId="25">
    <w:abstractNumId w:val="1"/>
    <w:lvlOverride w:ilvl="0">
      <w:startOverride w:val="1"/>
    </w:lvlOverride>
  </w:num>
  <w:num w:numId="26">
    <w:abstractNumId w:val="21"/>
  </w:num>
  <w:num w:numId="27">
    <w:abstractNumId w:val="22"/>
  </w:num>
  <w:num w:numId="28">
    <w:abstractNumId w:val="6"/>
  </w:num>
  <w:num w:numId="29">
    <w:abstractNumId w:val="49"/>
  </w:num>
  <w:num w:numId="30">
    <w:abstractNumId w:val="18"/>
  </w:num>
  <w:num w:numId="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6"/>
  </w:num>
  <w:num w:numId="34">
    <w:abstractNumId w:val="11"/>
  </w:num>
  <w:num w:numId="35">
    <w:abstractNumId w:val="35"/>
  </w:num>
  <w:num w:numId="36">
    <w:abstractNumId w:val="15"/>
  </w:num>
  <w:num w:numId="37">
    <w:abstractNumId w:val="46"/>
  </w:num>
  <w:num w:numId="38">
    <w:abstractNumId w:val="31"/>
  </w:num>
  <w:num w:numId="39">
    <w:abstractNumId w:val="17"/>
  </w:num>
  <w:num w:numId="40">
    <w:abstractNumId w:val="1"/>
  </w:num>
  <w:num w:numId="41">
    <w:abstractNumId w:val="34"/>
  </w:num>
  <w:num w:numId="42">
    <w:abstractNumId w:val="51"/>
  </w:num>
  <w:num w:numId="43">
    <w:abstractNumId w:val="48"/>
  </w:num>
  <w:num w:numId="44">
    <w:abstractNumId w:val="26"/>
  </w:num>
  <w:num w:numId="45">
    <w:abstractNumId w:val="29"/>
  </w:num>
  <w:num w:numId="46">
    <w:abstractNumId w:val="52"/>
  </w:num>
  <w:num w:numId="47">
    <w:abstractNumId w:val="44"/>
  </w:num>
  <w:num w:numId="48">
    <w:abstractNumId w:val="30"/>
  </w:num>
  <w:num w:numId="49">
    <w:abstractNumId w:val="9"/>
  </w:num>
  <w:num w:numId="50">
    <w:abstractNumId w:val="13"/>
  </w:num>
  <w:num w:numId="51">
    <w:abstractNumId w:val="8"/>
  </w:num>
  <w:num w:numId="52">
    <w:abstractNumId w:val="10"/>
  </w:num>
  <w:num w:numId="53">
    <w:abstractNumId w:val="42"/>
  </w:num>
  <w:num w:numId="54">
    <w:abstractNumId w:val="57"/>
  </w:num>
  <w:num w:numId="55">
    <w:abstractNumId w:val="20"/>
  </w:num>
  <w:num w:numId="56">
    <w:abstractNumId w:val="60"/>
  </w:num>
  <w:num w:numId="57">
    <w:abstractNumId w:val="61"/>
  </w:num>
  <w:num w:numId="58">
    <w:abstractNumId w:val="19"/>
  </w:num>
  <w:num w:numId="59">
    <w:abstractNumId w:val="62"/>
  </w:num>
  <w:num w:numId="60">
    <w:abstractNumId w:val="37"/>
  </w:num>
  <w:num w:numId="61">
    <w:abstractNumId w:val="20"/>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58"/>
  </w:num>
  <w:num w:numId="65">
    <w:abstractNumId w:val="7"/>
  </w:num>
  <w:num w:numId="66">
    <w:abstractNumId w:val="12"/>
  </w:num>
  <w:num w:numId="67">
    <w:abstractNumId w:val="50"/>
  </w:num>
  <w:num w:numId="68">
    <w:abstractNumId w:val="12"/>
  </w:num>
  <w:num w:numId="69">
    <w:abstractNumId w:val="55"/>
  </w:num>
  <w:num w:numId="70">
    <w:abstractNumId w:val="56"/>
  </w:num>
  <w:num w:numId="71">
    <w:abstractNumId w:val="28"/>
  </w:num>
  <w:num w:numId="72">
    <w:abstractNumId w:val="5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A47"/>
    <w:rsid w:val="00002086"/>
    <w:rsid w:val="00005D28"/>
    <w:rsid w:val="00013DF7"/>
    <w:rsid w:val="000146B7"/>
    <w:rsid w:val="0001767C"/>
    <w:rsid w:val="000228CC"/>
    <w:rsid w:val="000231C0"/>
    <w:rsid w:val="0002765F"/>
    <w:rsid w:val="00027BAE"/>
    <w:rsid w:val="00033B0B"/>
    <w:rsid w:val="0003430D"/>
    <w:rsid w:val="000370E1"/>
    <w:rsid w:val="0003720A"/>
    <w:rsid w:val="00037B94"/>
    <w:rsid w:val="00037E32"/>
    <w:rsid w:val="000410E7"/>
    <w:rsid w:val="000430F4"/>
    <w:rsid w:val="00045501"/>
    <w:rsid w:val="00054543"/>
    <w:rsid w:val="00054AE5"/>
    <w:rsid w:val="00055E7D"/>
    <w:rsid w:val="00062718"/>
    <w:rsid w:val="000666F8"/>
    <w:rsid w:val="00070F6F"/>
    <w:rsid w:val="00071463"/>
    <w:rsid w:val="00073E2D"/>
    <w:rsid w:val="00076018"/>
    <w:rsid w:val="000766E0"/>
    <w:rsid w:val="000806E7"/>
    <w:rsid w:val="0008111A"/>
    <w:rsid w:val="00083372"/>
    <w:rsid w:val="0008376C"/>
    <w:rsid w:val="000857BF"/>
    <w:rsid w:val="00090F2F"/>
    <w:rsid w:val="00092C72"/>
    <w:rsid w:val="000937F9"/>
    <w:rsid w:val="000958AF"/>
    <w:rsid w:val="000A3E5A"/>
    <w:rsid w:val="000A5D31"/>
    <w:rsid w:val="000A7317"/>
    <w:rsid w:val="000A75B0"/>
    <w:rsid w:val="000B1540"/>
    <w:rsid w:val="000B2017"/>
    <w:rsid w:val="000B2115"/>
    <w:rsid w:val="000B3C26"/>
    <w:rsid w:val="000B792D"/>
    <w:rsid w:val="000C5E9C"/>
    <w:rsid w:val="000C6B0D"/>
    <w:rsid w:val="000D3E4E"/>
    <w:rsid w:val="000D4892"/>
    <w:rsid w:val="000D7023"/>
    <w:rsid w:val="000D7276"/>
    <w:rsid w:val="000D7297"/>
    <w:rsid w:val="000E081F"/>
    <w:rsid w:val="000E2824"/>
    <w:rsid w:val="000E36EC"/>
    <w:rsid w:val="000E6249"/>
    <w:rsid w:val="000E63F2"/>
    <w:rsid w:val="000F195F"/>
    <w:rsid w:val="000F5F22"/>
    <w:rsid w:val="001008FA"/>
    <w:rsid w:val="00100C0C"/>
    <w:rsid w:val="00103758"/>
    <w:rsid w:val="00103851"/>
    <w:rsid w:val="001079CA"/>
    <w:rsid w:val="00112891"/>
    <w:rsid w:val="0011359E"/>
    <w:rsid w:val="0012162D"/>
    <w:rsid w:val="001216BD"/>
    <w:rsid w:val="001223F3"/>
    <w:rsid w:val="0012415D"/>
    <w:rsid w:val="001245E0"/>
    <w:rsid w:val="00124F48"/>
    <w:rsid w:val="00127558"/>
    <w:rsid w:val="0013001B"/>
    <w:rsid w:val="001378EC"/>
    <w:rsid w:val="00137F94"/>
    <w:rsid w:val="001436CA"/>
    <w:rsid w:val="00144BF8"/>
    <w:rsid w:val="00147337"/>
    <w:rsid w:val="00154E49"/>
    <w:rsid w:val="0015502A"/>
    <w:rsid w:val="00161383"/>
    <w:rsid w:val="0016496A"/>
    <w:rsid w:val="00167A2A"/>
    <w:rsid w:val="00172CA3"/>
    <w:rsid w:val="00175632"/>
    <w:rsid w:val="00176F46"/>
    <w:rsid w:val="00180764"/>
    <w:rsid w:val="00182A76"/>
    <w:rsid w:val="00184C7A"/>
    <w:rsid w:val="00190609"/>
    <w:rsid w:val="00190F9A"/>
    <w:rsid w:val="00196851"/>
    <w:rsid w:val="001A110A"/>
    <w:rsid w:val="001A2D69"/>
    <w:rsid w:val="001A39C8"/>
    <w:rsid w:val="001A53F8"/>
    <w:rsid w:val="001A763F"/>
    <w:rsid w:val="001B1669"/>
    <w:rsid w:val="001B21F9"/>
    <w:rsid w:val="001B2355"/>
    <w:rsid w:val="001B50B9"/>
    <w:rsid w:val="001B7ADF"/>
    <w:rsid w:val="001C7A96"/>
    <w:rsid w:val="001E0EFA"/>
    <w:rsid w:val="001E1EE3"/>
    <w:rsid w:val="001F6C2B"/>
    <w:rsid w:val="001F7D26"/>
    <w:rsid w:val="00200759"/>
    <w:rsid w:val="002053BB"/>
    <w:rsid w:val="00205606"/>
    <w:rsid w:val="00205ACB"/>
    <w:rsid w:val="00207EBC"/>
    <w:rsid w:val="00213070"/>
    <w:rsid w:val="00213D5D"/>
    <w:rsid w:val="002147D1"/>
    <w:rsid w:val="002150DF"/>
    <w:rsid w:val="00215B80"/>
    <w:rsid w:val="00216A8D"/>
    <w:rsid w:val="0022089F"/>
    <w:rsid w:val="0022093A"/>
    <w:rsid w:val="00224BA3"/>
    <w:rsid w:val="00226B99"/>
    <w:rsid w:val="002317BC"/>
    <w:rsid w:val="00231D26"/>
    <w:rsid w:val="0023415E"/>
    <w:rsid w:val="00235FDF"/>
    <w:rsid w:val="0024332F"/>
    <w:rsid w:val="00247523"/>
    <w:rsid w:val="002547FC"/>
    <w:rsid w:val="00257AD2"/>
    <w:rsid w:val="00260FB9"/>
    <w:rsid w:val="00270EF9"/>
    <w:rsid w:val="00273C47"/>
    <w:rsid w:val="00273E91"/>
    <w:rsid w:val="002764DD"/>
    <w:rsid w:val="00280192"/>
    <w:rsid w:val="00280478"/>
    <w:rsid w:val="0028136F"/>
    <w:rsid w:val="00284A43"/>
    <w:rsid w:val="0028536A"/>
    <w:rsid w:val="00285D76"/>
    <w:rsid w:val="00292883"/>
    <w:rsid w:val="00296B3D"/>
    <w:rsid w:val="00297DDF"/>
    <w:rsid w:val="002A1728"/>
    <w:rsid w:val="002A2844"/>
    <w:rsid w:val="002A3466"/>
    <w:rsid w:val="002A4E64"/>
    <w:rsid w:val="002A5478"/>
    <w:rsid w:val="002A65F3"/>
    <w:rsid w:val="002A709C"/>
    <w:rsid w:val="002A7B15"/>
    <w:rsid w:val="002A7B99"/>
    <w:rsid w:val="002B1AE2"/>
    <w:rsid w:val="002B386D"/>
    <w:rsid w:val="002B4CDB"/>
    <w:rsid w:val="002B53C5"/>
    <w:rsid w:val="002B6017"/>
    <w:rsid w:val="002C136E"/>
    <w:rsid w:val="002C225D"/>
    <w:rsid w:val="002C6F93"/>
    <w:rsid w:val="002C7E73"/>
    <w:rsid w:val="002D1318"/>
    <w:rsid w:val="002D560E"/>
    <w:rsid w:val="002E1B20"/>
    <w:rsid w:val="002E2613"/>
    <w:rsid w:val="002E46FC"/>
    <w:rsid w:val="002E4E15"/>
    <w:rsid w:val="002F044D"/>
    <w:rsid w:val="002F4383"/>
    <w:rsid w:val="00301906"/>
    <w:rsid w:val="00304979"/>
    <w:rsid w:val="00305DB3"/>
    <w:rsid w:val="00306268"/>
    <w:rsid w:val="0030770B"/>
    <w:rsid w:val="0031110E"/>
    <w:rsid w:val="003124BC"/>
    <w:rsid w:val="003137D2"/>
    <w:rsid w:val="0031510A"/>
    <w:rsid w:val="00320039"/>
    <w:rsid w:val="00322F63"/>
    <w:rsid w:val="00324E3B"/>
    <w:rsid w:val="00327C1E"/>
    <w:rsid w:val="00331F36"/>
    <w:rsid w:val="00332A3F"/>
    <w:rsid w:val="00333E72"/>
    <w:rsid w:val="003346F0"/>
    <w:rsid w:val="00342965"/>
    <w:rsid w:val="0034384E"/>
    <w:rsid w:val="0035056C"/>
    <w:rsid w:val="00351F22"/>
    <w:rsid w:val="003629DE"/>
    <w:rsid w:val="00363585"/>
    <w:rsid w:val="00363B9A"/>
    <w:rsid w:val="00366981"/>
    <w:rsid w:val="00366B99"/>
    <w:rsid w:val="00367345"/>
    <w:rsid w:val="00367E48"/>
    <w:rsid w:val="0037035B"/>
    <w:rsid w:val="00371B3A"/>
    <w:rsid w:val="00374989"/>
    <w:rsid w:val="00375F31"/>
    <w:rsid w:val="00376CB1"/>
    <w:rsid w:val="00376EA0"/>
    <w:rsid w:val="00377345"/>
    <w:rsid w:val="00382BE7"/>
    <w:rsid w:val="00387082"/>
    <w:rsid w:val="0039017D"/>
    <w:rsid w:val="0039051C"/>
    <w:rsid w:val="00390DD4"/>
    <w:rsid w:val="0039128F"/>
    <w:rsid w:val="00392475"/>
    <w:rsid w:val="00395ED5"/>
    <w:rsid w:val="00397668"/>
    <w:rsid w:val="00397F19"/>
    <w:rsid w:val="003A033D"/>
    <w:rsid w:val="003A0F8F"/>
    <w:rsid w:val="003A1C46"/>
    <w:rsid w:val="003A75A5"/>
    <w:rsid w:val="003B2E70"/>
    <w:rsid w:val="003B5254"/>
    <w:rsid w:val="003B6750"/>
    <w:rsid w:val="003B7686"/>
    <w:rsid w:val="003B7EF1"/>
    <w:rsid w:val="003C1597"/>
    <w:rsid w:val="003C171A"/>
    <w:rsid w:val="003C1E22"/>
    <w:rsid w:val="003C3641"/>
    <w:rsid w:val="003C4F56"/>
    <w:rsid w:val="003C7742"/>
    <w:rsid w:val="003C7FA2"/>
    <w:rsid w:val="003D0277"/>
    <w:rsid w:val="003D047C"/>
    <w:rsid w:val="003D6426"/>
    <w:rsid w:val="003D6E07"/>
    <w:rsid w:val="003E0D33"/>
    <w:rsid w:val="003E0F71"/>
    <w:rsid w:val="003E2398"/>
    <w:rsid w:val="003E242C"/>
    <w:rsid w:val="003E4361"/>
    <w:rsid w:val="003E5117"/>
    <w:rsid w:val="003E6796"/>
    <w:rsid w:val="003F1425"/>
    <w:rsid w:val="003F214A"/>
    <w:rsid w:val="003F5306"/>
    <w:rsid w:val="003F6737"/>
    <w:rsid w:val="003F6B18"/>
    <w:rsid w:val="004039F3"/>
    <w:rsid w:val="00404CCD"/>
    <w:rsid w:val="00410BAC"/>
    <w:rsid w:val="00410CCF"/>
    <w:rsid w:val="00421CD2"/>
    <w:rsid w:val="004230B8"/>
    <w:rsid w:val="004236F4"/>
    <w:rsid w:val="00423F81"/>
    <w:rsid w:val="004278C1"/>
    <w:rsid w:val="00431990"/>
    <w:rsid w:val="00433E99"/>
    <w:rsid w:val="0043538A"/>
    <w:rsid w:val="0043698B"/>
    <w:rsid w:val="00437EB9"/>
    <w:rsid w:val="004412B7"/>
    <w:rsid w:val="00441F88"/>
    <w:rsid w:val="00442561"/>
    <w:rsid w:val="004440D6"/>
    <w:rsid w:val="00444EC9"/>
    <w:rsid w:val="0044724E"/>
    <w:rsid w:val="00450D19"/>
    <w:rsid w:val="0045185F"/>
    <w:rsid w:val="004526F4"/>
    <w:rsid w:val="0045759F"/>
    <w:rsid w:val="00457763"/>
    <w:rsid w:val="00462EDF"/>
    <w:rsid w:val="00473420"/>
    <w:rsid w:val="0047544E"/>
    <w:rsid w:val="004772A1"/>
    <w:rsid w:val="004803B7"/>
    <w:rsid w:val="004914D1"/>
    <w:rsid w:val="00491993"/>
    <w:rsid w:val="004962C5"/>
    <w:rsid w:val="0049677E"/>
    <w:rsid w:val="00496C2E"/>
    <w:rsid w:val="0049752F"/>
    <w:rsid w:val="004A216F"/>
    <w:rsid w:val="004A2C9B"/>
    <w:rsid w:val="004B2F38"/>
    <w:rsid w:val="004B3380"/>
    <w:rsid w:val="004B55DF"/>
    <w:rsid w:val="004B56F0"/>
    <w:rsid w:val="004B74E8"/>
    <w:rsid w:val="004B79CE"/>
    <w:rsid w:val="004C4AE6"/>
    <w:rsid w:val="004C5A4A"/>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0AD2"/>
    <w:rsid w:val="00507411"/>
    <w:rsid w:val="005152A8"/>
    <w:rsid w:val="005163CE"/>
    <w:rsid w:val="00520BE0"/>
    <w:rsid w:val="00520E59"/>
    <w:rsid w:val="00521AA5"/>
    <w:rsid w:val="00530799"/>
    <w:rsid w:val="00540AE7"/>
    <w:rsid w:val="005415E2"/>
    <w:rsid w:val="00541D1D"/>
    <w:rsid w:val="00554794"/>
    <w:rsid w:val="0055491D"/>
    <w:rsid w:val="005551B3"/>
    <w:rsid w:val="00555F24"/>
    <w:rsid w:val="00557216"/>
    <w:rsid w:val="0056166F"/>
    <w:rsid w:val="00561B6B"/>
    <w:rsid w:val="00563E7A"/>
    <w:rsid w:val="0056445A"/>
    <w:rsid w:val="0057223A"/>
    <w:rsid w:val="00576517"/>
    <w:rsid w:val="00581369"/>
    <w:rsid w:val="0059332D"/>
    <w:rsid w:val="0059468C"/>
    <w:rsid w:val="005969BC"/>
    <w:rsid w:val="005A28AF"/>
    <w:rsid w:val="005A4419"/>
    <w:rsid w:val="005A5FF0"/>
    <w:rsid w:val="005B0C9C"/>
    <w:rsid w:val="005B12F2"/>
    <w:rsid w:val="005B3A24"/>
    <w:rsid w:val="005B47EA"/>
    <w:rsid w:val="005B5C7C"/>
    <w:rsid w:val="005B6EAB"/>
    <w:rsid w:val="005C0B6B"/>
    <w:rsid w:val="005C51F8"/>
    <w:rsid w:val="005C769E"/>
    <w:rsid w:val="005D39E3"/>
    <w:rsid w:val="005D48F6"/>
    <w:rsid w:val="005E0961"/>
    <w:rsid w:val="005E1032"/>
    <w:rsid w:val="005E20CA"/>
    <w:rsid w:val="005E310F"/>
    <w:rsid w:val="005E5BE5"/>
    <w:rsid w:val="005F01E1"/>
    <w:rsid w:val="005F2123"/>
    <w:rsid w:val="005F534C"/>
    <w:rsid w:val="005F6F46"/>
    <w:rsid w:val="0060309C"/>
    <w:rsid w:val="0060335A"/>
    <w:rsid w:val="006069B3"/>
    <w:rsid w:val="00611CAE"/>
    <w:rsid w:val="006131D0"/>
    <w:rsid w:val="0061387D"/>
    <w:rsid w:val="006149E8"/>
    <w:rsid w:val="00614A0D"/>
    <w:rsid w:val="006156B4"/>
    <w:rsid w:val="00621227"/>
    <w:rsid w:val="00624CBE"/>
    <w:rsid w:val="006252CE"/>
    <w:rsid w:val="006274D1"/>
    <w:rsid w:val="00627D12"/>
    <w:rsid w:val="006304C7"/>
    <w:rsid w:val="006312D9"/>
    <w:rsid w:val="00631FAC"/>
    <w:rsid w:val="00634597"/>
    <w:rsid w:val="00634C39"/>
    <w:rsid w:val="006429A1"/>
    <w:rsid w:val="006438F0"/>
    <w:rsid w:val="00643D1E"/>
    <w:rsid w:val="00645883"/>
    <w:rsid w:val="0064656A"/>
    <w:rsid w:val="006557C1"/>
    <w:rsid w:val="00661938"/>
    <w:rsid w:val="0066272D"/>
    <w:rsid w:val="0066276B"/>
    <w:rsid w:val="00663B30"/>
    <w:rsid w:val="0066409B"/>
    <w:rsid w:val="0066446C"/>
    <w:rsid w:val="00665880"/>
    <w:rsid w:val="00666038"/>
    <w:rsid w:val="00674539"/>
    <w:rsid w:val="0067530F"/>
    <w:rsid w:val="00680C9C"/>
    <w:rsid w:val="00680DA8"/>
    <w:rsid w:val="0068217D"/>
    <w:rsid w:val="006824DF"/>
    <w:rsid w:val="00687A89"/>
    <w:rsid w:val="006A427B"/>
    <w:rsid w:val="006B0E0C"/>
    <w:rsid w:val="006B1AAE"/>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00479"/>
    <w:rsid w:val="00706D49"/>
    <w:rsid w:val="007104FB"/>
    <w:rsid w:val="0071169D"/>
    <w:rsid w:val="00711A57"/>
    <w:rsid w:val="007124C4"/>
    <w:rsid w:val="007138AF"/>
    <w:rsid w:val="00714628"/>
    <w:rsid w:val="007214B5"/>
    <w:rsid w:val="00721FFC"/>
    <w:rsid w:val="00731708"/>
    <w:rsid w:val="00732335"/>
    <w:rsid w:val="007324FF"/>
    <w:rsid w:val="007359FC"/>
    <w:rsid w:val="0073778F"/>
    <w:rsid w:val="00740832"/>
    <w:rsid w:val="007410FD"/>
    <w:rsid w:val="007417D2"/>
    <w:rsid w:val="007439DC"/>
    <w:rsid w:val="00746535"/>
    <w:rsid w:val="007468F1"/>
    <w:rsid w:val="00746ABA"/>
    <w:rsid w:val="00747ED4"/>
    <w:rsid w:val="007515ED"/>
    <w:rsid w:val="007556E1"/>
    <w:rsid w:val="0076063A"/>
    <w:rsid w:val="007621C5"/>
    <w:rsid w:val="00762D22"/>
    <w:rsid w:val="0076488F"/>
    <w:rsid w:val="00776146"/>
    <w:rsid w:val="0078086F"/>
    <w:rsid w:val="00782900"/>
    <w:rsid w:val="007833A7"/>
    <w:rsid w:val="00787E78"/>
    <w:rsid w:val="00793678"/>
    <w:rsid w:val="00794097"/>
    <w:rsid w:val="00795F7B"/>
    <w:rsid w:val="007A139D"/>
    <w:rsid w:val="007A1FD1"/>
    <w:rsid w:val="007A2558"/>
    <w:rsid w:val="007B2802"/>
    <w:rsid w:val="007B2F77"/>
    <w:rsid w:val="007B5443"/>
    <w:rsid w:val="007B613E"/>
    <w:rsid w:val="007B79E2"/>
    <w:rsid w:val="007C37C0"/>
    <w:rsid w:val="007C587F"/>
    <w:rsid w:val="007D06D9"/>
    <w:rsid w:val="007D58CF"/>
    <w:rsid w:val="007D5972"/>
    <w:rsid w:val="007D6638"/>
    <w:rsid w:val="007E3CC6"/>
    <w:rsid w:val="007E54E5"/>
    <w:rsid w:val="007E6A52"/>
    <w:rsid w:val="007F1BF2"/>
    <w:rsid w:val="007F3256"/>
    <w:rsid w:val="007F3B35"/>
    <w:rsid w:val="008007E9"/>
    <w:rsid w:val="00800CD0"/>
    <w:rsid w:val="00803B87"/>
    <w:rsid w:val="00804199"/>
    <w:rsid w:val="00806D7A"/>
    <w:rsid w:val="00807B78"/>
    <w:rsid w:val="00810E1F"/>
    <w:rsid w:val="008117DC"/>
    <w:rsid w:val="00813DE7"/>
    <w:rsid w:val="00815CB3"/>
    <w:rsid w:val="00822AA7"/>
    <w:rsid w:val="00823FE5"/>
    <w:rsid w:val="008243A9"/>
    <w:rsid w:val="008317E5"/>
    <w:rsid w:val="00835A1A"/>
    <w:rsid w:val="008410FB"/>
    <w:rsid w:val="00841881"/>
    <w:rsid w:val="0084500C"/>
    <w:rsid w:val="00845CA5"/>
    <w:rsid w:val="008572ED"/>
    <w:rsid w:val="00857E3A"/>
    <w:rsid w:val="008609B4"/>
    <w:rsid w:val="0087613F"/>
    <w:rsid w:val="00886AD7"/>
    <w:rsid w:val="00892410"/>
    <w:rsid w:val="00895EC4"/>
    <w:rsid w:val="008976E1"/>
    <w:rsid w:val="008A4299"/>
    <w:rsid w:val="008A4477"/>
    <w:rsid w:val="008A52E8"/>
    <w:rsid w:val="008A6387"/>
    <w:rsid w:val="008A7FE8"/>
    <w:rsid w:val="008B006C"/>
    <w:rsid w:val="008B2264"/>
    <w:rsid w:val="008B22EC"/>
    <w:rsid w:val="008B250F"/>
    <w:rsid w:val="008B31D9"/>
    <w:rsid w:val="008B3478"/>
    <w:rsid w:val="008B5E07"/>
    <w:rsid w:val="008B6116"/>
    <w:rsid w:val="008C2E12"/>
    <w:rsid w:val="008C33B5"/>
    <w:rsid w:val="008C6E77"/>
    <w:rsid w:val="008D16BD"/>
    <w:rsid w:val="008D17C1"/>
    <w:rsid w:val="008D42F3"/>
    <w:rsid w:val="008D7A9D"/>
    <w:rsid w:val="008E0EAF"/>
    <w:rsid w:val="008E0EE9"/>
    <w:rsid w:val="008E1813"/>
    <w:rsid w:val="008E22FF"/>
    <w:rsid w:val="008E3343"/>
    <w:rsid w:val="008E7DDF"/>
    <w:rsid w:val="008F32F6"/>
    <w:rsid w:val="008F5BE4"/>
    <w:rsid w:val="008F6741"/>
    <w:rsid w:val="008F72A3"/>
    <w:rsid w:val="008F77C6"/>
    <w:rsid w:val="00901695"/>
    <w:rsid w:val="00904C38"/>
    <w:rsid w:val="00906266"/>
    <w:rsid w:val="00906C38"/>
    <w:rsid w:val="00913D43"/>
    <w:rsid w:val="00927682"/>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0697"/>
    <w:rsid w:val="009712B1"/>
    <w:rsid w:val="009736E1"/>
    <w:rsid w:val="009761D3"/>
    <w:rsid w:val="00984E3C"/>
    <w:rsid w:val="009909BF"/>
    <w:rsid w:val="00994513"/>
    <w:rsid w:val="00995B1C"/>
    <w:rsid w:val="00995E87"/>
    <w:rsid w:val="009A193B"/>
    <w:rsid w:val="009A22AE"/>
    <w:rsid w:val="009A3BAA"/>
    <w:rsid w:val="009A5D43"/>
    <w:rsid w:val="009A673C"/>
    <w:rsid w:val="009B03F1"/>
    <w:rsid w:val="009B0D7E"/>
    <w:rsid w:val="009C2887"/>
    <w:rsid w:val="009C46F8"/>
    <w:rsid w:val="009C52E6"/>
    <w:rsid w:val="009C67E3"/>
    <w:rsid w:val="009D069D"/>
    <w:rsid w:val="009D299F"/>
    <w:rsid w:val="009D2ECE"/>
    <w:rsid w:val="009D3364"/>
    <w:rsid w:val="009E09EA"/>
    <w:rsid w:val="009E2F82"/>
    <w:rsid w:val="009E45EE"/>
    <w:rsid w:val="009E5EBE"/>
    <w:rsid w:val="009E6142"/>
    <w:rsid w:val="009F1389"/>
    <w:rsid w:val="009F1B2C"/>
    <w:rsid w:val="009F33E3"/>
    <w:rsid w:val="009F3FC2"/>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36102"/>
    <w:rsid w:val="00A401EE"/>
    <w:rsid w:val="00A4372A"/>
    <w:rsid w:val="00A471DD"/>
    <w:rsid w:val="00A47D83"/>
    <w:rsid w:val="00A51892"/>
    <w:rsid w:val="00A51BEF"/>
    <w:rsid w:val="00A51CF0"/>
    <w:rsid w:val="00A541E3"/>
    <w:rsid w:val="00A559FB"/>
    <w:rsid w:val="00A60115"/>
    <w:rsid w:val="00A60D91"/>
    <w:rsid w:val="00A61F99"/>
    <w:rsid w:val="00A62DC0"/>
    <w:rsid w:val="00A62F46"/>
    <w:rsid w:val="00A65FDA"/>
    <w:rsid w:val="00A67F22"/>
    <w:rsid w:val="00A8006D"/>
    <w:rsid w:val="00A86351"/>
    <w:rsid w:val="00A87C2B"/>
    <w:rsid w:val="00A91472"/>
    <w:rsid w:val="00A92638"/>
    <w:rsid w:val="00A9321F"/>
    <w:rsid w:val="00A93F78"/>
    <w:rsid w:val="00A97F1A"/>
    <w:rsid w:val="00AA7FD9"/>
    <w:rsid w:val="00AB1B29"/>
    <w:rsid w:val="00AC1CBE"/>
    <w:rsid w:val="00AC6DEC"/>
    <w:rsid w:val="00AC7489"/>
    <w:rsid w:val="00AD0756"/>
    <w:rsid w:val="00AD1DD3"/>
    <w:rsid w:val="00AD2B31"/>
    <w:rsid w:val="00AD4509"/>
    <w:rsid w:val="00AD6F28"/>
    <w:rsid w:val="00AE45FF"/>
    <w:rsid w:val="00AF275E"/>
    <w:rsid w:val="00AF5335"/>
    <w:rsid w:val="00AF6257"/>
    <w:rsid w:val="00B04BAB"/>
    <w:rsid w:val="00B1655A"/>
    <w:rsid w:val="00B24682"/>
    <w:rsid w:val="00B27123"/>
    <w:rsid w:val="00B275E2"/>
    <w:rsid w:val="00B27AD3"/>
    <w:rsid w:val="00B30FFE"/>
    <w:rsid w:val="00B342D3"/>
    <w:rsid w:val="00B34E45"/>
    <w:rsid w:val="00B34EBA"/>
    <w:rsid w:val="00B4280C"/>
    <w:rsid w:val="00B42C86"/>
    <w:rsid w:val="00B44098"/>
    <w:rsid w:val="00B443C9"/>
    <w:rsid w:val="00B45771"/>
    <w:rsid w:val="00B46671"/>
    <w:rsid w:val="00B57C90"/>
    <w:rsid w:val="00B62098"/>
    <w:rsid w:val="00B64E95"/>
    <w:rsid w:val="00B65198"/>
    <w:rsid w:val="00B6747F"/>
    <w:rsid w:val="00B70081"/>
    <w:rsid w:val="00B708EF"/>
    <w:rsid w:val="00B743EA"/>
    <w:rsid w:val="00B76B2C"/>
    <w:rsid w:val="00B87F86"/>
    <w:rsid w:val="00B9006A"/>
    <w:rsid w:val="00B907EC"/>
    <w:rsid w:val="00B9133F"/>
    <w:rsid w:val="00B93F71"/>
    <w:rsid w:val="00B944EF"/>
    <w:rsid w:val="00B959AB"/>
    <w:rsid w:val="00BA10B3"/>
    <w:rsid w:val="00BA356E"/>
    <w:rsid w:val="00BA55D9"/>
    <w:rsid w:val="00BB62C1"/>
    <w:rsid w:val="00BC1530"/>
    <w:rsid w:val="00BC1EAA"/>
    <w:rsid w:val="00BC33C3"/>
    <w:rsid w:val="00BC4293"/>
    <w:rsid w:val="00BC4A0C"/>
    <w:rsid w:val="00BC5B1A"/>
    <w:rsid w:val="00BD0E7A"/>
    <w:rsid w:val="00BD1EF3"/>
    <w:rsid w:val="00BD23A1"/>
    <w:rsid w:val="00BD27F3"/>
    <w:rsid w:val="00BD2FD9"/>
    <w:rsid w:val="00BD36DA"/>
    <w:rsid w:val="00BD46F3"/>
    <w:rsid w:val="00BD4DF5"/>
    <w:rsid w:val="00BD7640"/>
    <w:rsid w:val="00BD7A22"/>
    <w:rsid w:val="00BE04D4"/>
    <w:rsid w:val="00BE1266"/>
    <w:rsid w:val="00BE3378"/>
    <w:rsid w:val="00BE4F87"/>
    <w:rsid w:val="00BE5C5C"/>
    <w:rsid w:val="00BE71B7"/>
    <w:rsid w:val="00BE7C22"/>
    <w:rsid w:val="00BF0F65"/>
    <w:rsid w:val="00BF2BC6"/>
    <w:rsid w:val="00BF3D78"/>
    <w:rsid w:val="00BF4FEA"/>
    <w:rsid w:val="00C00294"/>
    <w:rsid w:val="00C015CF"/>
    <w:rsid w:val="00C02E72"/>
    <w:rsid w:val="00C03B4D"/>
    <w:rsid w:val="00C1050F"/>
    <w:rsid w:val="00C1073D"/>
    <w:rsid w:val="00C10BDE"/>
    <w:rsid w:val="00C1122A"/>
    <w:rsid w:val="00C14406"/>
    <w:rsid w:val="00C25ECC"/>
    <w:rsid w:val="00C267FF"/>
    <w:rsid w:val="00C27CC7"/>
    <w:rsid w:val="00C30629"/>
    <w:rsid w:val="00C3353D"/>
    <w:rsid w:val="00C356F4"/>
    <w:rsid w:val="00C35ADB"/>
    <w:rsid w:val="00C3625E"/>
    <w:rsid w:val="00C37C05"/>
    <w:rsid w:val="00C37F9B"/>
    <w:rsid w:val="00C40DAA"/>
    <w:rsid w:val="00C4161F"/>
    <w:rsid w:val="00C447A2"/>
    <w:rsid w:val="00C4570A"/>
    <w:rsid w:val="00C463CB"/>
    <w:rsid w:val="00C47635"/>
    <w:rsid w:val="00C477E4"/>
    <w:rsid w:val="00C50B43"/>
    <w:rsid w:val="00C534EC"/>
    <w:rsid w:val="00C54480"/>
    <w:rsid w:val="00C545E2"/>
    <w:rsid w:val="00C66ADC"/>
    <w:rsid w:val="00C67790"/>
    <w:rsid w:val="00C67974"/>
    <w:rsid w:val="00C70945"/>
    <w:rsid w:val="00C71071"/>
    <w:rsid w:val="00C71211"/>
    <w:rsid w:val="00C716AA"/>
    <w:rsid w:val="00C72AC4"/>
    <w:rsid w:val="00C803BF"/>
    <w:rsid w:val="00C810CB"/>
    <w:rsid w:val="00C83D78"/>
    <w:rsid w:val="00C90C93"/>
    <w:rsid w:val="00C90EF7"/>
    <w:rsid w:val="00C93DE0"/>
    <w:rsid w:val="00C97852"/>
    <w:rsid w:val="00CA1D58"/>
    <w:rsid w:val="00CA1F62"/>
    <w:rsid w:val="00CA4E54"/>
    <w:rsid w:val="00CA6468"/>
    <w:rsid w:val="00CA785A"/>
    <w:rsid w:val="00CA7AC2"/>
    <w:rsid w:val="00CB2F81"/>
    <w:rsid w:val="00CB6C94"/>
    <w:rsid w:val="00CC0B59"/>
    <w:rsid w:val="00CC6DF7"/>
    <w:rsid w:val="00CD011F"/>
    <w:rsid w:val="00CD0C3C"/>
    <w:rsid w:val="00CD1A59"/>
    <w:rsid w:val="00CD54A6"/>
    <w:rsid w:val="00CD5F5E"/>
    <w:rsid w:val="00CD6108"/>
    <w:rsid w:val="00CD62AF"/>
    <w:rsid w:val="00CD64B3"/>
    <w:rsid w:val="00CD7305"/>
    <w:rsid w:val="00CE30F7"/>
    <w:rsid w:val="00CE36EB"/>
    <w:rsid w:val="00CE5778"/>
    <w:rsid w:val="00CF0BF1"/>
    <w:rsid w:val="00CF2476"/>
    <w:rsid w:val="00CF6639"/>
    <w:rsid w:val="00CF6905"/>
    <w:rsid w:val="00D0418E"/>
    <w:rsid w:val="00D061C5"/>
    <w:rsid w:val="00D07847"/>
    <w:rsid w:val="00D11F72"/>
    <w:rsid w:val="00D13B30"/>
    <w:rsid w:val="00D14F38"/>
    <w:rsid w:val="00D209C9"/>
    <w:rsid w:val="00D231FD"/>
    <w:rsid w:val="00D2401E"/>
    <w:rsid w:val="00D270BE"/>
    <w:rsid w:val="00D27C68"/>
    <w:rsid w:val="00D302C4"/>
    <w:rsid w:val="00D320A2"/>
    <w:rsid w:val="00D34DF2"/>
    <w:rsid w:val="00D358AE"/>
    <w:rsid w:val="00D407F9"/>
    <w:rsid w:val="00D40CFF"/>
    <w:rsid w:val="00D41144"/>
    <w:rsid w:val="00D416B4"/>
    <w:rsid w:val="00D437B5"/>
    <w:rsid w:val="00D473A6"/>
    <w:rsid w:val="00D50538"/>
    <w:rsid w:val="00D521B1"/>
    <w:rsid w:val="00D52371"/>
    <w:rsid w:val="00D53D65"/>
    <w:rsid w:val="00D5425D"/>
    <w:rsid w:val="00D54EF9"/>
    <w:rsid w:val="00D555AF"/>
    <w:rsid w:val="00D57411"/>
    <w:rsid w:val="00D605B2"/>
    <w:rsid w:val="00D62411"/>
    <w:rsid w:val="00D643C0"/>
    <w:rsid w:val="00D650EB"/>
    <w:rsid w:val="00D6546F"/>
    <w:rsid w:val="00D675BC"/>
    <w:rsid w:val="00D70504"/>
    <w:rsid w:val="00D7064E"/>
    <w:rsid w:val="00D7173E"/>
    <w:rsid w:val="00D73CA4"/>
    <w:rsid w:val="00D74914"/>
    <w:rsid w:val="00D764E9"/>
    <w:rsid w:val="00D80BC1"/>
    <w:rsid w:val="00D824B7"/>
    <w:rsid w:val="00D82680"/>
    <w:rsid w:val="00D840E8"/>
    <w:rsid w:val="00D84CD2"/>
    <w:rsid w:val="00D84ECE"/>
    <w:rsid w:val="00D928A1"/>
    <w:rsid w:val="00D93A57"/>
    <w:rsid w:val="00D9584E"/>
    <w:rsid w:val="00D96C5B"/>
    <w:rsid w:val="00DA016E"/>
    <w:rsid w:val="00DA1737"/>
    <w:rsid w:val="00DA4969"/>
    <w:rsid w:val="00DA49E7"/>
    <w:rsid w:val="00DA7DD6"/>
    <w:rsid w:val="00DB1457"/>
    <w:rsid w:val="00DB1C0E"/>
    <w:rsid w:val="00DB1DFF"/>
    <w:rsid w:val="00DB531B"/>
    <w:rsid w:val="00DB6863"/>
    <w:rsid w:val="00DC03AD"/>
    <w:rsid w:val="00DC0CD9"/>
    <w:rsid w:val="00DC2B51"/>
    <w:rsid w:val="00DC3A8C"/>
    <w:rsid w:val="00DC41EA"/>
    <w:rsid w:val="00DC51D4"/>
    <w:rsid w:val="00DC5414"/>
    <w:rsid w:val="00DC5EB9"/>
    <w:rsid w:val="00DC6EAB"/>
    <w:rsid w:val="00DC7134"/>
    <w:rsid w:val="00DD283F"/>
    <w:rsid w:val="00DD4550"/>
    <w:rsid w:val="00DD56BE"/>
    <w:rsid w:val="00DD5D8D"/>
    <w:rsid w:val="00DD6971"/>
    <w:rsid w:val="00DD69FD"/>
    <w:rsid w:val="00DD78F2"/>
    <w:rsid w:val="00DE2926"/>
    <w:rsid w:val="00DE69ED"/>
    <w:rsid w:val="00DE74EA"/>
    <w:rsid w:val="00DF1D01"/>
    <w:rsid w:val="00DF54DD"/>
    <w:rsid w:val="00DF6030"/>
    <w:rsid w:val="00DF6E70"/>
    <w:rsid w:val="00E00C54"/>
    <w:rsid w:val="00E01FF8"/>
    <w:rsid w:val="00E032B0"/>
    <w:rsid w:val="00E03C73"/>
    <w:rsid w:val="00E06223"/>
    <w:rsid w:val="00E06688"/>
    <w:rsid w:val="00E07788"/>
    <w:rsid w:val="00E12985"/>
    <w:rsid w:val="00E147D4"/>
    <w:rsid w:val="00E1573D"/>
    <w:rsid w:val="00E15C37"/>
    <w:rsid w:val="00E1751D"/>
    <w:rsid w:val="00E22CBF"/>
    <w:rsid w:val="00E22EE2"/>
    <w:rsid w:val="00E238D0"/>
    <w:rsid w:val="00E26E43"/>
    <w:rsid w:val="00E32BFB"/>
    <w:rsid w:val="00E364EE"/>
    <w:rsid w:val="00E3700D"/>
    <w:rsid w:val="00E41DC6"/>
    <w:rsid w:val="00E42DF7"/>
    <w:rsid w:val="00E44E4B"/>
    <w:rsid w:val="00E455AF"/>
    <w:rsid w:val="00E51FB3"/>
    <w:rsid w:val="00E520F6"/>
    <w:rsid w:val="00E53A2A"/>
    <w:rsid w:val="00E5428C"/>
    <w:rsid w:val="00E57572"/>
    <w:rsid w:val="00E62522"/>
    <w:rsid w:val="00E629BB"/>
    <w:rsid w:val="00E64E27"/>
    <w:rsid w:val="00E6592F"/>
    <w:rsid w:val="00E65D8E"/>
    <w:rsid w:val="00E669B0"/>
    <w:rsid w:val="00E67437"/>
    <w:rsid w:val="00E678DE"/>
    <w:rsid w:val="00E71774"/>
    <w:rsid w:val="00E766CF"/>
    <w:rsid w:val="00E76B1A"/>
    <w:rsid w:val="00E84692"/>
    <w:rsid w:val="00E86BD8"/>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6BC0"/>
    <w:rsid w:val="00ED7689"/>
    <w:rsid w:val="00ED7FAA"/>
    <w:rsid w:val="00EE0670"/>
    <w:rsid w:val="00EF0716"/>
    <w:rsid w:val="00EF1923"/>
    <w:rsid w:val="00EF1AC3"/>
    <w:rsid w:val="00EF3CD0"/>
    <w:rsid w:val="00EF73EC"/>
    <w:rsid w:val="00F007E2"/>
    <w:rsid w:val="00F04F6C"/>
    <w:rsid w:val="00F0676E"/>
    <w:rsid w:val="00F07053"/>
    <w:rsid w:val="00F10143"/>
    <w:rsid w:val="00F11D3C"/>
    <w:rsid w:val="00F13477"/>
    <w:rsid w:val="00F14370"/>
    <w:rsid w:val="00F15D3A"/>
    <w:rsid w:val="00F21DE7"/>
    <w:rsid w:val="00F22190"/>
    <w:rsid w:val="00F2284D"/>
    <w:rsid w:val="00F253D2"/>
    <w:rsid w:val="00F25522"/>
    <w:rsid w:val="00F2661C"/>
    <w:rsid w:val="00F338D0"/>
    <w:rsid w:val="00F33D11"/>
    <w:rsid w:val="00F340E0"/>
    <w:rsid w:val="00F34A4F"/>
    <w:rsid w:val="00F40494"/>
    <w:rsid w:val="00F433F2"/>
    <w:rsid w:val="00F50563"/>
    <w:rsid w:val="00F50886"/>
    <w:rsid w:val="00F50A9F"/>
    <w:rsid w:val="00F52A7B"/>
    <w:rsid w:val="00F52F34"/>
    <w:rsid w:val="00F53E0E"/>
    <w:rsid w:val="00F5436E"/>
    <w:rsid w:val="00F54372"/>
    <w:rsid w:val="00F55C05"/>
    <w:rsid w:val="00F612E1"/>
    <w:rsid w:val="00F6313E"/>
    <w:rsid w:val="00F63DA3"/>
    <w:rsid w:val="00F65A25"/>
    <w:rsid w:val="00F65D3E"/>
    <w:rsid w:val="00F67A42"/>
    <w:rsid w:val="00F75449"/>
    <w:rsid w:val="00F7755C"/>
    <w:rsid w:val="00F77789"/>
    <w:rsid w:val="00F803D5"/>
    <w:rsid w:val="00F8228D"/>
    <w:rsid w:val="00F82CC7"/>
    <w:rsid w:val="00F834DF"/>
    <w:rsid w:val="00F92D4C"/>
    <w:rsid w:val="00F9780C"/>
    <w:rsid w:val="00FA0573"/>
    <w:rsid w:val="00FA3155"/>
    <w:rsid w:val="00FA55AD"/>
    <w:rsid w:val="00FA6806"/>
    <w:rsid w:val="00FB2F2A"/>
    <w:rsid w:val="00FB387B"/>
    <w:rsid w:val="00FB3BD6"/>
    <w:rsid w:val="00FB6DFC"/>
    <w:rsid w:val="00FC0F33"/>
    <w:rsid w:val="00FC1708"/>
    <w:rsid w:val="00FC24C1"/>
    <w:rsid w:val="00FC2829"/>
    <w:rsid w:val="00FD247F"/>
    <w:rsid w:val="00FD2CDC"/>
    <w:rsid w:val="00FD5C24"/>
    <w:rsid w:val="00FE113B"/>
    <w:rsid w:val="00FE18D2"/>
    <w:rsid w:val="00FE40DB"/>
    <w:rsid w:val="00FE479D"/>
    <w:rsid w:val="00FE6D17"/>
    <w:rsid w:val="00FE7596"/>
    <w:rsid w:val="00FF106E"/>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204753733">
          <w:marLeft w:val="562"/>
          <w:marRight w:val="0"/>
          <w:marTop w:val="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 w:id="925186485">
          <w:marLeft w:val="216"/>
          <w:marRight w:val="0"/>
          <w:marTop w:val="24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0338521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2022-01-11T19:24:00Z</dcterms:created>
  <dcterms:modified xsi:type="dcterms:W3CDTF">2022-01-11T19:25:00Z</dcterms:modified>
</cp:coreProperties>
</file>